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EB3F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sz w:val="44"/>
          <w:szCs w:val="44"/>
          <w:lang w:val="en-US" w:eastAsia="zh-CN"/>
        </w:rPr>
      </w:pPr>
    </w:p>
    <w:p w14:paraId="402543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 w:val="0"/>
          <w:sz w:val="52"/>
          <w:szCs w:val="52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52"/>
          <w:szCs w:val="5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 w:val="0"/>
          <w:sz w:val="52"/>
          <w:szCs w:val="52"/>
        </w:rPr>
        <w:t>20</w:t>
      </w:r>
      <w:r>
        <w:rPr>
          <w:rFonts w:hint="eastAsia" w:ascii="宋体" w:hAnsi="宋体" w:eastAsia="宋体" w:cs="宋体"/>
          <w:b/>
          <w:bCs w:val="0"/>
          <w:sz w:val="52"/>
          <w:szCs w:val="52"/>
          <w:lang w:val="en-US" w:eastAsia="zh-CN"/>
        </w:rPr>
        <w:t>23</w:t>
      </w:r>
      <w:r>
        <w:rPr>
          <w:rFonts w:hint="eastAsia" w:ascii="宋体" w:hAnsi="宋体" w:eastAsia="宋体" w:cs="宋体"/>
          <w:b/>
          <w:bCs w:val="0"/>
          <w:sz w:val="52"/>
          <w:szCs w:val="52"/>
        </w:rPr>
        <w:t>年</w:t>
      </w:r>
      <w:r>
        <w:rPr>
          <w:rFonts w:hint="eastAsia" w:ascii="宋体" w:hAnsi="宋体" w:eastAsia="宋体" w:cs="宋体"/>
          <w:b/>
          <w:bCs w:val="0"/>
          <w:sz w:val="52"/>
          <w:szCs w:val="52"/>
          <w:lang w:eastAsia="zh-CN"/>
        </w:rPr>
        <w:t>孟州市市本级政府</w:t>
      </w:r>
      <w:r>
        <w:rPr>
          <w:rFonts w:hint="eastAsia" w:ascii="宋体" w:hAnsi="宋体" w:eastAsia="宋体" w:cs="宋体"/>
          <w:b/>
          <w:bCs w:val="0"/>
          <w:sz w:val="52"/>
          <w:szCs w:val="52"/>
        </w:rPr>
        <w:t>预算</w:t>
      </w:r>
      <w:r>
        <w:rPr>
          <w:rFonts w:hint="eastAsia" w:ascii="宋体" w:hAnsi="宋体" w:eastAsia="宋体" w:cs="宋体"/>
          <w:b/>
          <w:bCs w:val="0"/>
          <w:sz w:val="52"/>
          <w:szCs w:val="52"/>
          <w:lang w:eastAsia="zh-CN"/>
        </w:rPr>
        <w:t>公开</w:t>
      </w:r>
    </w:p>
    <w:p w14:paraId="30E03298">
      <w:pPr>
        <w:kinsoku w:val="0"/>
        <w:overflowPunct w:val="0"/>
        <w:adjustRightInd w:val="0"/>
        <w:snapToGrid w:val="0"/>
        <w:spacing w:line="360" w:lineRule="auto"/>
        <w:ind w:left="-142" w:right="51" w:firstLine="31" w:firstLineChars="7"/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</w:p>
    <w:p w14:paraId="09E33279">
      <w:pPr>
        <w:kinsoku w:val="0"/>
        <w:overflowPunct w:val="0"/>
        <w:adjustRightInd w:val="0"/>
        <w:snapToGrid w:val="0"/>
        <w:spacing w:line="360" w:lineRule="auto"/>
        <w:ind w:left="-142" w:right="51" w:firstLine="31" w:firstLineChars="7"/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</w:p>
    <w:p w14:paraId="19266C1F">
      <w:pPr>
        <w:kinsoku w:val="0"/>
        <w:overflowPunct w:val="0"/>
        <w:adjustRightInd w:val="0"/>
        <w:snapToGrid w:val="0"/>
        <w:spacing w:line="360" w:lineRule="auto"/>
        <w:ind w:left="-142" w:right="51" w:firstLine="30" w:firstLineChars="7"/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微软雅黑" w:hAnsi="微软雅黑" w:eastAsia="微软雅黑" w:cs="微软雅黑"/>
          <w:b w:val="0"/>
          <w:bCs w:val="0"/>
          <w:sz w:val="44"/>
          <w:szCs w:val="44"/>
        </w:rPr>
        <w:t>目</w:t>
      </w:r>
      <w:r>
        <w:rPr>
          <w:rFonts w:hint="eastAsia" w:ascii="微软雅黑" w:hAnsi="微软雅黑" w:eastAsia="微软雅黑" w:cs="微软雅黑"/>
          <w:b w:val="0"/>
          <w:bCs w:val="0"/>
          <w:sz w:val="44"/>
          <w:szCs w:val="44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b w:val="0"/>
          <w:bCs w:val="0"/>
          <w:spacing w:val="2"/>
          <w:sz w:val="44"/>
          <w:szCs w:val="44"/>
        </w:rPr>
        <w:t xml:space="preserve"> </w:t>
      </w:r>
      <w:r>
        <w:rPr>
          <w:rFonts w:hint="eastAsia" w:ascii="微软雅黑" w:hAnsi="微软雅黑" w:eastAsia="微软雅黑" w:cs="微软雅黑"/>
          <w:b w:val="0"/>
          <w:bCs w:val="0"/>
          <w:sz w:val="44"/>
          <w:szCs w:val="44"/>
        </w:rPr>
        <w:t>录</w:t>
      </w:r>
    </w:p>
    <w:p w14:paraId="60DA59F8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900" w:lineRule="exact"/>
        <w:ind w:left="0" w:leftChars="0" w:right="521" w:firstLine="0" w:firstLineChars="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第一章    孟州市市本级一般公共预算收支情况说明</w:t>
      </w:r>
    </w:p>
    <w:p w14:paraId="7F4E6A04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900" w:lineRule="exact"/>
        <w:ind w:leftChars="0" w:right="521" w:rightChars="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第二章    孟州市市本级政府性基金预算收支情况说明</w:t>
      </w:r>
    </w:p>
    <w:p w14:paraId="749CE550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900" w:lineRule="exact"/>
        <w:ind w:leftChars="0" w:right="521" w:rightChars="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第三章    孟州市市本级社会保险基金预算收支情况说明</w:t>
      </w:r>
    </w:p>
    <w:p w14:paraId="0A0285FE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900" w:lineRule="exact"/>
        <w:ind w:leftChars="0" w:right="521" w:rightChars="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第四章    孟州市市本级国有资本经营预算收支情况说明</w:t>
      </w:r>
    </w:p>
    <w:p w14:paraId="3B8FDA47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900" w:lineRule="exact"/>
        <w:ind w:leftChars="0" w:right="521" w:rightChars="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第五章    孟州市市本级“三公”经费情况说明</w:t>
      </w:r>
    </w:p>
    <w:p w14:paraId="45564492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900" w:lineRule="exact"/>
        <w:ind w:leftChars="0" w:right="521" w:rightChars="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第六章    孟州市市本级政府性债务情况说明</w:t>
      </w:r>
    </w:p>
    <w:p w14:paraId="170D43C4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900" w:lineRule="exact"/>
        <w:ind w:leftChars="0" w:right="521" w:rightChars="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sectPr>
          <w:pgSz w:w="11906" w:h="16838"/>
          <w:pgMar w:top="1440" w:right="1440" w:bottom="1440" w:left="1800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第七章    孟州市市本级预算公开附表</w:t>
      </w:r>
    </w:p>
    <w:p w14:paraId="7A5E1E7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 xml:space="preserve"> 孟州市市本级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一般公共预算收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支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情况说明</w:t>
      </w:r>
    </w:p>
    <w:p w14:paraId="40859F5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 xml:space="preserve">    一、地方一般公共预算总收入安排情况</w:t>
      </w:r>
    </w:p>
    <w:p w14:paraId="05C22C3F">
      <w:pPr>
        <w:tabs>
          <w:tab w:val="left" w:pos="280"/>
        </w:tabs>
        <w:spacing w:line="600" w:lineRule="exact"/>
        <w:ind w:firstLine="643" w:firstLineChars="200"/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（一）地方一般公共预算收入安排情况</w:t>
      </w:r>
    </w:p>
    <w:p w14:paraId="15831A1E">
      <w:p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一般公共预算收入安排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109523</w:t>
      </w:r>
      <w:r>
        <w:rPr>
          <w:rFonts w:hint="eastAsia" w:ascii="仿宋" w:hAnsi="仿宋" w:eastAsia="仿宋"/>
          <w:sz w:val="32"/>
          <w:szCs w:val="32"/>
          <w:highlight w:val="none"/>
        </w:rPr>
        <w:t>万元，较上年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决算（执行数）下降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3.6</w:t>
      </w:r>
      <w:r>
        <w:rPr>
          <w:rFonts w:hint="eastAsia" w:ascii="仿宋" w:hAnsi="仿宋" w:eastAsia="仿宋"/>
          <w:sz w:val="32"/>
          <w:szCs w:val="32"/>
          <w:highlight w:val="none"/>
        </w:rPr>
        <w:t>%；其中：税收收入安排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82790</w:t>
      </w:r>
      <w:r>
        <w:rPr>
          <w:rFonts w:hint="eastAsia" w:ascii="仿宋" w:hAnsi="仿宋" w:eastAsia="仿宋"/>
          <w:sz w:val="32"/>
          <w:szCs w:val="32"/>
          <w:highlight w:val="none"/>
        </w:rPr>
        <w:t>万元，较上年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决算（执行数）增长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14</w:t>
      </w:r>
      <w:r>
        <w:rPr>
          <w:rFonts w:hint="eastAsia" w:ascii="仿宋" w:hAnsi="仿宋" w:eastAsia="仿宋"/>
          <w:sz w:val="32"/>
          <w:szCs w:val="32"/>
          <w:highlight w:val="none"/>
        </w:rPr>
        <w:t>%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；非税收入安排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26733万元，较上年决算（执行数）下降34.8%。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主要税种安排情况：</w:t>
      </w:r>
    </w:p>
    <w:p w14:paraId="6AEC2385">
      <w:pPr>
        <w:numPr>
          <w:ilvl w:val="0"/>
          <w:numId w:val="2"/>
        </w:numPr>
        <w:ind w:firstLine="640" w:firstLineChars="200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增值税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24130</w:t>
      </w:r>
      <w:r>
        <w:rPr>
          <w:rFonts w:hint="eastAsia" w:ascii="仿宋" w:hAnsi="仿宋" w:eastAsia="仿宋"/>
          <w:color w:val="auto"/>
          <w:sz w:val="32"/>
          <w:szCs w:val="32"/>
        </w:rPr>
        <w:t>万元，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较上年决算（执行数）增长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45</w:t>
      </w:r>
      <w:r>
        <w:rPr>
          <w:rFonts w:hint="eastAsia" w:ascii="仿宋" w:hAnsi="仿宋" w:eastAsia="仿宋"/>
          <w:color w:val="auto"/>
          <w:sz w:val="32"/>
          <w:szCs w:val="32"/>
        </w:rPr>
        <w:t>%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。</w:t>
      </w:r>
    </w:p>
    <w:p w14:paraId="45555757">
      <w:pPr>
        <w:numPr>
          <w:ilvl w:val="0"/>
          <w:numId w:val="0"/>
        </w:numPr>
        <w:rPr>
          <w:rFonts w:hint="eastAsia" w:ascii="仿宋" w:hAnsi="仿宋" w:eastAsia="仿宋" w:cs="宋体"/>
          <w:b w:val="0"/>
          <w:bCs w:val="0"/>
          <w:color w:val="auto"/>
          <w:sz w:val="32"/>
          <w:szCs w:val="32"/>
          <w:lang w:val="en-US"/>
        </w:rPr>
      </w:pPr>
      <w:r>
        <w:rPr>
          <w:rFonts w:hint="eastAsia" w:ascii="仿宋" w:hAnsi="仿宋" w:eastAsia="仿宋"/>
          <w:color w:val="00B0F0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/>
          <w:color w:val="FF000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宋体"/>
          <w:b w:val="0"/>
          <w:bCs w:val="0"/>
          <w:color w:val="auto"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 w:cs="宋体"/>
          <w:b w:val="0"/>
          <w:bCs w:val="0"/>
          <w:color w:val="auto"/>
          <w:sz w:val="32"/>
          <w:szCs w:val="32"/>
        </w:rPr>
        <w:t>企业所得税</w:t>
      </w:r>
      <w:r>
        <w:rPr>
          <w:rFonts w:hint="eastAsia" w:ascii="仿宋" w:hAnsi="仿宋" w:eastAsia="仿宋" w:cs="宋体"/>
          <w:b w:val="0"/>
          <w:bCs w:val="0"/>
          <w:color w:val="auto"/>
          <w:sz w:val="32"/>
          <w:szCs w:val="32"/>
          <w:lang w:val="en-US" w:eastAsia="zh-CN"/>
        </w:rPr>
        <w:t>2365</w:t>
      </w:r>
      <w:r>
        <w:rPr>
          <w:rFonts w:hint="eastAsia" w:ascii="仿宋" w:hAnsi="仿宋" w:eastAsia="仿宋" w:cs="宋体"/>
          <w:b w:val="0"/>
          <w:bCs w:val="0"/>
          <w:color w:val="auto"/>
          <w:sz w:val="32"/>
          <w:szCs w:val="32"/>
        </w:rPr>
        <w:t>万元，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eastAsia="zh-CN"/>
        </w:rPr>
        <w:t>较上年决算（执行数）增长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val="en-US" w:eastAsia="zh-CN"/>
        </w:rPr>
        <w:t>32.9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</w:rPr>
        <w:t>%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eastAsia="zh-CN"/>
        </w:rPr>
        <w:t>。</w:t>
      </w:r>
    </w:p>
    <w:p w14:paraId="24F017E3">
      <w:pPr>
        <w:numPr>
          <w:ilvl w:val="0"/>
          <w:numId w:val="3"/>
        </w:numPr>
        <w:ind w:firstLine="640" w:firstLineChars="200"/>
        <w:rPr>
          <w:rFonts w:hint="eastAsia" w:ascii="仿宋_GB2312" w:hAnsi="宋体" w:eastAsia="仿宋_GB2312"/>
          <w:color w:val="auto"/>
          <w:sz w:val="32"/>
          <w:szCs w:val="32"/>
        </w:rPr>
      </w:pPr>
      <w:r>
        <w:rPr>
          <w:rFonts w:hint="eastAsia" w:ascii="仿宋" w:hAnsi="仿宋" w:eastAsia="仿宋" w:cs="宋体"/>
          <w:color w:val="auto"/>
          <w:sz w:val="32"/>
          <w:szCs w:val="32"/>
          <w:lang w:val="en-US" w:eastAsia="zh-CN"/>
        </w:rPr>
        <w:t>个人所得1034万元，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较上年决算（执行数）增长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10.8</w:t>
      </w:r>
      <w:r>
        <w:rPr>
          <w:rFonts w:hint="eastAsia" w:ascii="仿宋" w:hAnsi="仿宋" w:eastAsia="仿宋"/>
          <w:color w:val="auto"/>
          <w:sz w:val="32"/>
          <w:szCs w:val="32"/>
        </w:rPr>
        <w:t>%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。</w:t>
      </w:r>
    </w:p>
    <w:p w14:paraId="396C263C">
      <w:pPr>
        <w:numPr>
          <w:ilvl w:val="0"/>
          <w:numId w:val="3"/>
        </w:numPr>
        <w:ind w:firstLine="640" w:firstLineChars="200"/>
        <w:rPr>
          <w:rFonts w:hint="eastAsia"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城市建设维护税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3755万元，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较上年决算（执行数）增长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46.8</w:t>
      </w:r>
      <w:r>
        <w:rPr>
          <w:rFonts w:hint="eastAsia" w:ascii="仿宋" w:hAnsi="仿宋" w:eastAsia="仿宋"/>
          <w:color w:val="auto"/>
          <w:sz w:val="32"/>
          <w:szCs w:val="32"/>
        </w:rPr>
        <w:t>%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。</w:t>
      </w:r>
    </w:p>
    <w:p w14:paraId="57353D73">
      <w:pPr>
        <w:numPr>
          <w:ilvl w:val="0"/>
          <w:numId w:val="3"/>
        </w:numPr>
        <w:ind w:firstLine="640" w:firstLineChars="200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环境保护税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220万元，较上年决算（执行数）增长3.8%。</w:t>
      </w:r>
    </w:p>
    <w:p w14:paraId="6EA4DD63">
      <w:pPr>
        <w:numPr>
          <w:ilvl w:val="0"/>
          <w:numId w:val="3"/>
        </w:numPr>
        <w:ind w:firstLine="640" w:firstLineChars="200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房产税、城镇土地使用税、契税、车船税等其他税种收入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51286万元，较上年决算（执行数）增长1.5%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。</w:t>
      </w:r>
    </w:p>
    <w:p w14:paraId="7C7A0584">
      <w:pPr>
        <w:numPr>
          <w:ilvl w:val="0"/>
          <w:numId w:val="0"/>
        </w:numPr>
        <w:spacing w:line="600" w:lineRule="exact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B0F0"/>
          <w:sz w:val="32"/>
          <w:szCs w:val="32"/>
          <w:lang w:val="en-US" w:eastAsia="zh-CN"/>
        </w:rPr>
        <w:t xml:space="preserve">  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（二）上级补助收入项目情况</w:t>
      </w:r>
    </w:p>
    <w:p w14:paraId="5CF477E4">
      <w:pPr>
        <w:spacing w:line="600" w:lineRule="exact"/>
        <w:ind w:firstLine="640" w:firstLineChars="200"/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20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宋体"/>
          <w:sz w:val="32"/>
          <w:szCs w:val="32"/>
        </w:rPr>
        <w:t>年预算上级补助收入安排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75809</w:t>
      </w:r>
      <w:r>
        <w:rPr>
          <w:rFonts w:hint="eastAsia" w:ascii="仿宋" w:hAnsi="仿宋" w:eastAsia="仿宋" w:cs="宋体"/>
          <w:sz w:val="32"/>
          <w:szCs w:val="32"/>
        </w:rPr>
        <w:t>万元，其中：返还性收入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7747</w:t>
      </w:r>
      <w:r>
        <w:rPr>
          <w:rFonts w:hint="eastAsia" w:ascii="仿宋" w:hAnsi="仿宋" w:eastAsia="仿宋" w:cs="宋体"/>
          <w:sz w:val="32"/>
          <w:szCs w:val="32"/>
        </w:rPr>
        <w:t>万元、一般性转移支付收入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65014</w:t>
      </w:r>
      <w:r>
        <w:rPr>
          <w:rFonts w:hint="eastAsia" w:ascii="仿宋" w:hAnsi="仿宋" w:eastAsia="仿宋" w:cs="宋体"/>
          <w:sz w:val="32"/>
          <w:szCs w:val="32"/>
        </w:rPr>
        <w:t>万元、专项转移支付收入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3048</w:t>
      </w:r>
      <w:r>
        <w:rPr>
          <w:rFonts w:hint="eastAsia" w:ascii="仿宋" w:hAnsi="仿宋" w:eastAsia="仿宋" w:cs="宋体"/>
          <w:sz w:val="32"/>
          <w:szCs w:val="32"/>
        </w:rPr>
        <w:t>万元。</w:t>
      </w:r>
    </w:p>
    <w:p w14:paraId="415EB596">
      <w:pPr>
        <w:spacing w:line="600" w:lineRule="exact"/>
        <w:ind w:firstLine="640" w:firstLineChars="200"/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1.返还性收入7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747</w:t>
      </w:r>
      <w:r>
        <w:rPr>
          <w:rFonts w:hint="eastAsia" w:ascii="仿宋" w:hAnsi="仿宋" w:eastAsia="仿宋" w:cs="宋体"/>
          <w:sz w:val="32"/>
          <w:szCs w:val="32"/>
        </w:rPr>
        <w:t>万元，其中：所得税基数返还收入1921万元、增值税收入返还4129万元、消费税返还228万元、</w:t>
      </w:r>
      <w:r>
        <w:rPr>
          <w:rFonts w:hint="eastAsia" w:ascii="仿宋" w:hAnsi="仿宋" w:eastAsia="仿宋" w:cs="宋体"/>
          <w:sz w:val="32"/>
          <w:szCs w:val="32"/>
          <w:lang w:eastAsia="zh-CN"/>
        </w:rPr>
        <w:t>增值税五五分享税收返还收入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368万元、</w:t>
      </w:r>
      <w:r>
        <w:rPr>
          <w:rFonts w:hint="eastAsia" w:ascii="仿宋" w:hAnsi="仿宋" w:eastAsia="仿宋" w:cs="宋体"/>
          <w:sz w:val="32"/>
          <w:szCs w:val="32"/>
        </w:rPr>
        <w:t>成品油税费改革税收返还收入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1101</w:t>
      </w:r>
      <w:r>
        <w:rPr>
          <w:rFonts w:hint="eastAsia" w:ascii="仿宋" w:hAnsi="仿宋" w:eastAsia="仿宋" w:cs="宋体"/>
          <w:sz w:val="32"/>
          <w:szCs w:val="32"/>
        </w:rPr>
        <w:t>万元。</w:t>
      </w:r>
    </w:p>
    <w:p w14:paraId="03B57029">
      <w:pPr>
        <w:spacing w:line="560" w:lineRule="exact"/>
        <w:ind w:firstLine="640" w:firstLineChars="200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</w:rPr>
        <w:t>2.一般性转移支付收入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65014</w:t>
      </w:r>
      <w:r>
        <w:rPr>
          <w:rFonts w:hint="eastAsia" w:ascii="仿宋" w:hAnsi="仿宋" w:eastAsia="仿宋" w:cs="宋体"/>
          <w:sz w:val="32"/>
          <w:szCs w:val="32"/>
        </w:rPr>
        <w:t>万元，其中：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均衡性转移支付</w:t>
      </w:r>
      <w:r>
        <w:rPr>
          <w:rFonts w:hint="eastAsia" w:ascii="仿宋" w:hAnsi="仿宋" w:eastAsia="仿宋" w:cs="宋体"/>
          <w:color w:val="auto"/>
          <w:sz w:val="32"/>
          <w:szCs w:val="32"/>
          <w:lang w:val="en-US" w:eastAsia="zh-CN"/>
        </w:rPr>
        <w:t>12937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万元、</w:t>
      </w:r>
      <w:r>
        <w:rPr>
          <w:rFonts w:hint="eastAsia" w:ascii="仿宋" w:hAnsi="仿宋" w:eastAsia="仿宋" w:cs="宋体"/>
          <w:color w:val="auto"/>
          <w:sz w:val="32"/>
          <w:szCs w:val="32"/>
          <w:lang w:eastAsia="zh-CN"/>
        </w:rPr>
        <w:t>县级基本财力保障机制奖补资金</w:t>
      </w:r>
      <w:r>
        <w:rPr>
          <w:rFonts w:hint="eastAsia" w:ascii="仿宋" w:hAnsi="仿宋" w:eastAsia="仿宋" w:cs="宋体"/>
          <w:color w:val="auto"/>
          <w:sz w:val="32"/>
          <w:szCs w:val="32"/>
          <w:lang w:val="en-US" w:eastAsia="zh-CN"/>
        </w:rPr>
        <w:t>4877万元、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结算补助</w:t>
      </w:r>
      <w:r>
        <w:rPr>
          <w:rFonts w:hint="eastAsia" w:ascii="仿宋" w:hAnsi="仿宋" w:eastAsia="仿宋" w:cs="宋体"/>
          <w:color w:val="auto"/>
          <w:sz w:val="32"/>
          <w:szCs w:val="32"/>
          <w:lang w:val="en-US" w:eastAsia="zh-CN"/>
        </w:rPr>
        <w:t>131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万元</w:t>
      </w:r>
      <w:r>
        <w:rPr>
          <w:rFonts w:hint="eastAsia" w:ascii="仿宋" w:hAnsi="仿宋" w:eastAsia="仿宋" w:cs="宋体"/>
          <w:color w:val="auto"/>
          <w:sz w:val="32"/>
          <w:szCs w:val="32"/>
          <w:lang w:eastAsia="zh-CN"/>
        </w:rPr>
        <w:t>、产粮大县奖励资金</w:t>
      </w:r>
      <w:r>
        <w:rPr>
          <w:rFonts w:hint="eastAsia" w:ascii="仿宋" w:hAnsi="仿宋" w:eastAsia="仿宋" w:cs="宋体"/>
          <w:color w:val="auto"/>
          <w:sz w:val="32"/>
          <w:szCs w:val="32"/>
          <w:lang w:val="en-US" w:eastAsia="zh-CN"/>
        </w:rPr>
        <w:t>1551万元、固定数额补助18044万元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val="en-US" w:eastAsia="zh-CN"/>
        </w:rPr>
        <w:t>、巩固脱贫攻坚成果衔接乡村振兴转移支付收入1361万元、</w:t>
      </w:r>
      <w:r>
        <w:rPr>
          <w:rFonts w:hint="eastAsia" w:ascii="仿宋" w:hAnsi="仿宋" w:eastAsia="仿宋"/>
          <w:color w:val="auto"/>
          <w:sz w:val="30"/>
          <w:szCs w:val="30"/>
          <w:highlight w:val="none"/>
          <w:lang w:eastAsia="zh-CN"/>
        </w:rPr>
        <w:t>公共安全共同财政事权转移支付收入</w:t>
      </w:r>
      <w:r>
        <w:rPr>
          <w:rFonts w:hint="eastAsia" w:ascii="仿宋" w:hAnsi="仿宋" w:eastAsia="仿宋"/>
          <w:color w:val="auto"/>
          <w:sz w:val="30"/>
          <w:szCs w:val="30"/>
          <w:highlight w:val="none"/>
          <w:lang w:val="en-US" w:eastAsia="zh-CN"/>
        </w:rPr>
        <w:t>864万元、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>教育共同财政事权转移支付收入5931万元、科学技术共同财政事权转移支付收入40万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元、文化旅游体育与传媒共同财政事权转移支付收入290万元、社会保障和就业共同财政事权转移支付收5616万元、医疗卫生共同财政事权转移支付收入2942万元、节能环保共同财政事权转移支付收入1000万元、农林水共同财政事权转移支付收入4466万元、交通运输共同财政事权转移支付收入164万元、增值税留抵退税转移支付收入4060万元、其他退税减税降费转移支付收入740万元。</w:t>
      </w:r>
    </w:p>
    <w:p w14:paraId="6E5E7CB4">
      <w:pPr>
        <w:spacing w:line="600" w:lineRule="exact"/>
        <w:ind w:firstLine="640" w:firstLineChars="200"/>
        <w:rPr>
          <w:rFonts w:hint="eastAsia" w:ascii="仿宋" w:hAnsi="仿宋" w:eastAsia="仿宋" w:cs="宋体"/>
          <w:color w:val="auto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3．专项转移支付收入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3048</w:t>
      </w:r>
      <w:r>
        <w:rPr>
          <w:rFonts w:hint="eastAsia" w:ascii="仿宋" w:hAnsi="仿宋" w:eastAsia="仿宋" w:cs="宋体"/>
          <w:sz w:val="32"/>
          <w:szCs w:val="32"/>
        </w:rPr>
        <w:t>万元，其中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：</w:t>
      </w:r>
      <w:r>
        <w:rPr>
          <w:rFonts w:hint="eastAsia" w:ascii="仿宋" w:hAnsi="仿宋" w:eastAsia="仿宋" w:cs="宋体"/>
          <w:color w:val="auto"/>
          <w:sz w:val="32"/>
          <w:szCs w:val="32"/>
          <w:lang w:eastAsia="zh-CN"/>
        </w:rPr>
        <w:t>一般公共服务</w:t>
      </w:r>
      <w:r>
        <w:rPr>
          <w:rFonts w:hint="eastAsia" w:ascii="仿宋" w:hAnsi="仿宋" w:eastAsia="仿宋" w:cs="宋体"/>
          <w:color w:val="auto"/>
          <w:sz w:val="32"/>
          <w:szCs w:val="32"/>
          <w:lang w:val="en-US" w:eastAsia="zh-CN"/>
        </w:rPr>
        <w:t>1万元、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教育</w:t>
      </w:r>
      <w:r>
        <w:rPr>
          <w:rFonts w:hint="eastAsia" w:ascii="仿宋" w:hAnsi="仿宋" w:eastAsia="仿宋" w:cs="宋体"/>
          <w:color w:val="auto"/>
          <w:sz w:val="32"/>
          <w:szCs w:val="32"/>
          <w:lang w:val="en-US" w:eastAsia="zh-CN"/>
        </w:rPr>
        <w:t>40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万元、</w:t>
      </w:r>
      <w:r>
        <w:rPr>
          <w:rFonts w:hint="eastAsia" w:ascii="仿宋" w:hAnsi="仿宋" w:eastAsia="仿宋" w:cs="宋体"/>
          <w:color w:val="auto"/>
          <w:sz w:val="32"/>
          <w:szCs w:val="32"/>
          <w:lang w:eastAsia="zh-CN"/>
        </w:rPr>
        <w:t>卫生健康</w:t>
      </w:r>
      <w:r>
        <w:rPr>
          <w:rFonts w:hint="eastAsia" w:ascii="仿宋" w:hAnsi="仿宋" w:eastAsia="仿宋" w:cs="宋体"/>
          <w:color w:val="auto"/>
          <w:sz w:val="32"/>
          <w:szCs w:val="32"/>
          <w:lang w:val="en-US" w:eastAsia="zh-CN"/>
        </w:rPr>
        <w:t>127万元、节能环保1374万元、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农林水事务</w:t>
      </w:r>
      <w:r>
        <w:rPr>
          <w:rFonts w:hint="eastAsia" w:ascii="仿宋" w:hAnsi="仿宋" w:eastAsia="仿宋" w:cs="宋体"/>
          <w:color w:val="auto"/>
          <w:sz w:val="32"/>
          <w:szCs w:val="32"/>
          <w:lang w:val="en-US" w:eastAsia="zh-CN"/>
        </w:rPr>
        <w:t>1457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万元</w:t>
      </w:r>
      <w:r>
        <w:rPr>
          <w:rFonts w:hint="eastAsia" w:ascii="仿宋" w:hAnsi="仿宋" w:eastAsia="仿宋" w:cs="宋体"/>
          <w:color w:val="auto"/>
          <w:sz w:val="32"/>
          <w:szCs w:val="32"/>
          <w:lang w:eastAsia="zh-CN"/>
        </w:rPr>
        <w:t>、商业服务业等</w:t>
      </w:r>
      <w:r>
        <w:rPr>
          <w:rFonts w:hint="eastAsia" w:ascii="仿宋" w:hAnsi="仿宋" w:eastAsia="仿宋" w:cs="宋体"/>
          <w:color w:val="auto"/>
          <w:sz w:val="32"/>
          <w:szCs w:val="32"/>
          <w:lang w:val="en-US" w:eastAsia="zh-CN"/>
        </w:rPr>
        <w:t>49万元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。</w:t>
      </w:r>
    </w:p>
    <w:p w14:paraId="220CD5AC">
      <w:pPr>
        <w:spacing w:line="600" w:lineRule="exact"/>
        <w:ind w:firstLine="643" w:firstLineChars="200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（三）其他收入情况</w:t>
      </w:r>
    </w:p>
    <w:p w14:paraId="6B40E85E">
      <w:pPr>
        <w:spacing w:line="600" w:lineRule="exact"/>
        <w:ind w:firstLine="640" w:firstLineChars="200"/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  <w:lang w:eastAsia="zh-CN"/>
        </w:rPr>
        <w:t>动用</w:t>
      </w:r>
      <w:r>
        <w:rPr>
          <w:rFonts w:hint="eastAsia" w:ascii="仿宋" w:hAnsi="仿宋" w:eastAsia="仿宋" w:cs="宋体"/>
          <w:sz w:val="32"/>
          <w:szCs w:val="32"/>
        </w:rPr>
        <w:t>预算稳定调节基金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11797</w:t>
      </w:r>
      <w:r>
        <w:rPr>
          <w:rFonts w:hint="eastAsia" w:ascii="仿宋" w:hAnsi="仿宋" w:eastAsia="仿宋" w:cs="宋体"/>
          <w:sz w:val="32"/>
          <w:szCs w:val="32"/>
        </w:rPr>
        <w:t>万元，上年结转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49186</w:t>
      </w:r>
      <w:r>
        <w:rPr>
          <w:rFonts w:hint="eastAsia" w:ascii="仿宋" w:hAnsi="仿宋" w:eastAsia="仿宋" w:cs="宋体"/>
          <w:sz w:val="32"/>
          <w:szCs w:val="32"/>
        </w:rPr>
        <w:t>万元</w:t>
      </w:r>
      <w:r>
        <w:rPr>
          <w:rFonts w:hint="eastAsia" w:ascii="仿宋" w:hAnsi="仿宋" w:eastAsia="仿宋" w:cs="宋体"/>
          <w:sz w:val="32"/>
          <w:szCs w:val="32"/>
          <w:lang w:eastAsia="zh-CN"/>
        </w:rPr>
        <w:t>，上解乡镇收入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13808万元，</w:t>
      </w:r>
      <w:r>
        <w:rPr>
          <w:rFonts w:hint="eastAsia" w:ascii="仿宋" w:hAnsi="仿宋" w:eastAsia="仿宋" w:cs="宋体"/>
          <w:sz w:val="32"/>
          <w:szCs w:val="32"/>
          <w:lang w:eastAsia="zh-CN"/>
        </w:rPr>
        <w:t>调入资金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10300万元。</w:t>
      </w:r>
    </w:p>
    <w:p w14:paraId="0D814B97">
      <w:pPr>
        <w:spacing w:line="600" w:lineRule="exact"/>
        <w:ind w:firstLine="640" w:firstLineChars="200"/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20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宋体"/>
          <w:sz w:val="32"/>
          <w:szCs w:val="32"/>
        </w:rPr>
        <w:t>年，地方级一般公共预算收入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109523</w:t>
      </w:r>
      <w:r>
        <w:rPr>
          <w:rFonts w:hint="eastAsia" w:ascii="仿宋" w:hAnsi="仿宋" w:eastAsia="仿宋" w:cs="宋体"/>
          <w:sz w:val="32"/>
          <w:szCs w:val="32"/>
        </w:rPr>
        <w:t>万元，加上上级补助、</w:t>
      </w:r>
      <w:r>
        <w:rPr>
          <w:rFonts w:hint="eastAsia" w:ascii="仿宋" w:hAnsi="仿宋" w:eastAsia="仿宋" w:cs="宋体"/>
          <w:sz w:val="32"/>
          <w:szCs w:val="32"/>
          <w:lang w:eastAsia="zh-CN"/>
        </w:rPr>
        <w:t>动用</w:t>
      </w:r>
      <w:r>
        <w:rPr>
          <w:rFonts w:hint="eastAsia" w:ascii="仿宋" w:hAnsi="仿宋" w:eastAsia="仿宋" w:cs="宋体"/>
          <w:sz w:val="32"/>
          <w:szCs w:val="32"/>
        </w:rPr>
        <w:t>预算稳定</w:t>
      </w:r>
      <w:r>
        <w:rPr>
          <w:rFonts w:hint="eastAsia" w:ascii="仿宋" w:hAnsi="仿宋" w:eastAsia="仿宋" w:cs="宋体"/>
          <w:sz w:val="32"/>
          <w:szCs w:val="32"/>
          <w:lang w:eastAsia="zh-CN"/>
        </w:rPr>
        <w:t>调节</w:t>
      </w:r>
      <w:r>
        <w:rPr>
          <w:rFonts w:hint="eastAsia" w:ascii="仿宋" w:hAnsi="仿宋" w:eastAsia="仿宋" w:cs="宋体"/>
          <w:sz w:val="32"/>
          <w:szCs w:val="32"/>
        </w:rPr>
        <w:t>基金、上年结转等综合测算，一般公共预算收入总额为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270423</w:t>
      </w:r>
      <w:r>
        <w:rPr>
          <w:rFonts w:hint="eastAsia" w:ascii="仿宋" w:hAnsi="仿宋" w:eastAsia="仿宋" w:cs="宋体"/>
          <w:sz w:val="32"/>
          <w:szCs w:val="32"/>
        </w:rPr>
        <w:t>万元。</w:t>
      </w:r>
    </w:p>
    <w:p w14:paraId="43468700">
      <w:pPr>
        <w:spacing w:line="600" w:lineRule="exact"/>
        <w:ind w:firstLine="640" w:firstLineChars="200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二、20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23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年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孟州市市本级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一般公共预算支出情况的说明</w:t>
      </w:r>
    </w:p>
    <w:p w14:paraId="500A8460">
      <w:pPr>
        <w:pStyle w:val="3"/>
        <w:spacing w:before="0" w:beforeAutospacing="0" w:after="0" w:afterAutospacing="0"/>
        <w:ind w:firstLine="64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</w:rPr>
        <w:t>20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宋体"/>
          <w:kern w:val="2"/>
          <w:sz w:val="32"/>
          <w:szCs w:val="32"/>
        </w:rPr>
        <w:t>年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市本级</w:t>
      </w:r>
      <w:r>
        <w:rPr>
          <w:rFonts w:hint="eastAsia" w:ascii="仿宋" w:hAnsi="仿宋" w:eastAsia="仿宋" w:cs="宋体"/>
          <w:kern w:val="2"/>
          <w:sz w:val="32"/>
          <w:szCs w:val="32"/>
        </w:rPr>
        <w:t>一般公共预算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总</w:t>
      </w:r>
      <w:r>
        <w:rPr>
          <w:rFonts w:hint="eastAsia" w:ascii="仿宋" w:hAnsi="仿宋" w:eastAsia="仿宋" w:cs="宋体"/>
          <w:kern w:val="2"/>
          <w:sz w:val="32"/>
          <w:szCs w:val="32"/>
        </w:rPr>
        <w:t>支出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安排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270423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万元，其中：地方级支出安排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236639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上年预算数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106.6</w:t>
      </w:r>
      <w:r>
        <w:rPr>
          <w:rFonts w:hint="eastAsia" w:ascii="仿宋" w:hAnsi="仿宋" w:eastAsia="仿宋" w:cs="宋体"/>
          <w:kern w:val="2"/>
          <w:sz w:val="32"/>
          <w:szCs w:val="32"/>
        </w:rPr>
        <w:t>%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宋体"/>
          <w:kern w:val="2"/>
          <w:sz w:val="32"/>
          <w:szCs w:val="32"/>
        </w:rPr>
        <w:t>上解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上级</w:t>
      </w:r>
      <w:r>
        <w:rPr>
          <w:rFonts w:hint="eastAsia" w:ascii="仿宋" w:hAnsi="仿宋" w:eastAsia="仿宋" w:cs="宋体"/>
          <w:kern w:val="2"/>
          <w:sz w:val="32"/>
          <w:szCs w:val="32"/>
        </w:rPr>
        <w:t>支出安排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33474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，债务还本支出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310万元</w:t>
      </w:r>
      <w:r>
        <w:rPr>
          <w:rFonts w:hint="eastAsia" w:ascii="仿宋" w:hAnsi="仿宋" w:eastAsia="仿宋" w:cs="宋体"/>
          <w:kern w:val="2"/>
          <w:sz w:val="32"/>
          <w:szCs w:val="32"/>
        </w:rPr>
        <w:t>。</w:t>
      </w:r>
    </w:p>
    <w:p w14:paraId="7814AAC1">
      <w:pPr>
        <w:pStyle w:val="3"/>
        <w:spacing w:before="0" w:beforeAutospacing="0" w:after="0" w:afterAutospacing="0"/>
        <w:ind w:firstLine="640"/>
        <w:jc w:val="both"/>
        <w:rPr>
          <w:rFonts w:hint="eastAsia" w:ascii="楷体" w:hAnsi="楷体" w:eastAsia="楷体" w:cs="楷体"/>
          <w:b/>
          <w:bCs/>
          <w:kern w:val="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kern w:val="2"/>
          <w:sz w:val="32"/>
          <w:szCs w:val="32"/>
          <w:lang w:eastAsia="zh-CN"/>
        </w:rPr>
        <w:t>（一）地方级主要支出安排情况</w:t>
      </w:r>
    </w:p>
    <w:p w14:paraId="6571685A">
      <w:pPr>
        <w:pStyle w:val="3"/>
        <w:spacing w:before="0" w:beforeAutospacing="0" w:after="0" w:afterAutospacing="0"/>
        <w:ind w:firstLine="64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一般公共预算支出236639万元，为上年预算数的106.6%。其中：人员和公用经费等基本支出75502万元，占比31.9%；项目支出161137万元，占比68.1%。主</w:t>
      </w:r>
      <w:r>
        <w:rPr>
          <w:rFonts w:hint="eastAsia" w:ascii="仿宋" w:hAnsi="仿宋" w:eastAsia="仿宋" w:cs="宋体"/>
          <w:kern w:val="2"/>
          <w:sz w:val="32"/>
          <w:szCs w:val="32"/>
        </w:rPr>
        <w:t>要支出功能科目是：</w:t>
      </w:r>
    </w:p>
    <w:p w14:paraId="32417CD9"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</w:rPr>
        <w:t>1、一般公共服务支出安排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21435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占上年预算数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88.1</w:t>
      </w:r>
      <w:r>
        <w:rPr>
          <w:rFonts w:hint="eastAsia" w:ascii="仿宋" w:hAnsi="仿宋" w:eastAsia="仿宋" w:cs="宋体"/>
          <w:kern w:val="2"/>
          <w:sz w:val="32"/>
          <w:szCs w:val="32"/>
        </w:rPr>
        <w:t>%；</w:t>
      </w:r>
    </w:p>
    <w:p w14:paraId="7FCB1E3C"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</w:rPr>
        <w:t>2、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国防支出安排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316万元，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占上年预算数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121.5</w:t>
      </w:r>
      <w:r>
        <w:rPr>
          <w:rFonts w:hint="eastAsia" w:ascii="仿宋" w:hAnsi="仿宋" w:eastAsia="仿宋" w:cs="宋体"/>
          <w:kern w:val="2"/>
          <w:sz w:val="32"/>
          <w:szCs w:val="32"/>
        </w:rPr>
        <w:t>%；</w:t>
      </w:r>
    </w:p>
    <w:p w14:paraId="6EE3BE8B"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宋体"/>
          <w:kern w:val="2"/>
          <w:sz w:val="32"/>
          <w:szCs w:val="32"/>
        </w:rPr>
        <w:t>公共安全支出安排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12030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占上年预算数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93.1</w:t>
      </w:r>
      <w:r>
        <w:rPr>
          <w:rFonts w:hint="eastAsia" w:ascii="仿宋" w:hAnsi="仿宋" w:eastAsia="仿宋" w:cs="宋体"/>
          <w:kern w:val="2"/>
          <w:sz w:val="32"/>
          <w:szCs w:val="32"/>
        </w:rPr>
        <w:t>%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；</w:t>
      </w:r>
    </w:p>
    <w:p w14:paraId="6F417774"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宋体"/>
          <w:kern w:val="2"/>
          <w:sz w:val="32"/>
          <w:szCs w:val="32"/>
        </w:rPr>
        <w:t>、教育支出安排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55267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占上年预算数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97.6</w:t>
      </w:r>
      <w:r>
        <w:rPr>
          <w:rFonts w:hint="eastAsia" w:ascii="仿宋" w:hAnsi="仿宋" w:eastAsia="仿宋" w:cs="宋体"/>
          <w:kern w:val="2"/>
          <w:sz w:val="32"/>
          <w:szCs w:val="32"/>
        </w:rPr>
        <w:t>%；</w:t>
      </w:r>
    </w:p>
    <w:p w14:paraId="6B1E38D1"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宋体"/>
          <w:kern w:val="2"/>
          <w:sz w:val="32"/>
          <w:szCs w:val="32"/>
        </w:rPr>
        <w:t>、科学技术支出安排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9694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占上年预算数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162.1</w:t>
      </w:r>
      <w:r>
        <w:rPr>
          <w:rFonts w:hint="eastAsia" w:ascii="仿宋" w:hAnsi="仿宋" w:eastAsia="仿宋" w:cs="宋体"/>
          <w:kern w:val="2"/>
          <w:sz w:val="32"/>
          <w:szCs w:val="32"/>
        </w:rPr>
        <w:t>%；</w:t>
      </w:r>
    </w:p>
    <w:p w14:paraId="72AFFEB8"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宋体"/>
          <w:kern w:val="2"/>
          <w:sz w:val="32"/>
          <w:szCs w:val="32"/>
        </w:rPr>
        <w:t>、文化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旅游</w:t>
      </w:r>
      <w:r>
        <w:rPr>
          <w:rFonts w:hint="eastAsia" w:ascii="仿宋" w:hAnsi="仿宋" w:eastAsia="仿宋" w:cs="宋体"/>
          <w:kern w:val="2"/>
          <w:sz w:val="32"/>
          <w:szCs w:val="32"/>
        </w:rPr>
        <w:t>体育与传媒支出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1874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占上年预算数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83.8</w:t>
      </w:r>
      <w:r>
        <w:rPr>
          <w:rFonts w:hint="eastAsia" w:ascii="仿宋" w:hAnsi="仿宋" w:eastAsia="仿宋" w:cs="宋体"/>
          <w:kern w:val="2"/>
          <w:sz w:val="32"/>
          <w:szCs w:val="32"/>
        </w:rPr>
        <w:t>%；</w:t>
      </w:r>
    </w:p>
    <w:p w14:paraId="2A193B6F"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宋体"/>
          <w:kern w:val="2"/>
          <w:sz w:val="32"/>
          <w:szCs w:val="32"/>
        </w:rPr>
        <w:t>、社会保障和就业支出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36820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占上年预算数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108.3</w:t>
      </w:r>
      <w:r>
        <w:rPr>
          <w:rFonts w:hint="eastAsia" w:ascii="仿宋" w:hAnsi="仿宋" w:eastAsia="仿宋" w:cs="宋体"/>
          <w:kern w:val="2"/>
          <w:sz w:val="32"/>
          <w:szCs w:val="32"/>
        </w:rPr>
        <w:t>%；</w:t>
      </w:r>
    </w:p>
    <w:p w14:paraId="7B5F5DA0"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宋体"/>
          <w:kern w:val="2"/>
          <w:sz w:val="32"/>
          <w:szCs w:val="32"/>
        </w:rPr>
        <w:t>、卫生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健康</w:t>
      </w:r>
      <w:r>
        <w:rPr>
          <w:rFonts w:hint="eastAsia" w:ascii="仿宋" w:hAnsi="仿宋" w:eastAsia="仿宋" w:cs="宋体"/>
          <w:kern w:val="2"/>
          <w:sz w:val="32"/>
          <w:szCs w:val="32"/>
        </w:rPr>
        <w:t>支出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22029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占上年预算数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95.6</w:t>
      </w:r>
      <w:r>
        <w:rPr>
          <w:rFonts w:hint="eastAsia" w:ascii="仿宋" w:hAnsi="仿宋" w:eastAsia="仿宋" w:cs="宋体"/>
          <w:kern w:val="2"/>
          <w:sz w:val="32"/>
          <w:szCs w:val="32"/>
        </w:rPr>
        <w:t>%；</w:t>
      </w:r>
    </w:p>
    <w:p w14:paraId="464296EA"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宋体"/>
          <w:kern w:val="2"/>
          <w:sz w:val="32"/>
          <w:szCs w:val="32"/>
        </w:rPr>
        <w:t>、节能环保支出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8246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占上年预算数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89.4</w:t>
      </w:r>
      <w:r>
        <w:rPr>
          <w:rFonts w:hint="eastAsia" w:ascii="仿宋" w:hAnsi="仿宋" w:eastAsia="仿宋" w:cs="宋体"/>
          <w:kern w:val="2"/>
          <w:sz w:val="32"/>
          <w:szCs w:val="32"/>
        </w:rPr>
        <w:t>%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；</w:t>
      </w:r>
    </w:p>
    <w:p w14:paraId="7BD50F86"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宋体"/>
          <w:kern w:val="2"/>
          <w:sz w:val="32"/>
          <w:szCs w:val="32"/>
        </w:rPr>
        <w:t>、城乡社区事务支出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9764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占上年预算数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104.2</w:t>
      </w:r>
      <w:r>
        <w:rPr>
          <w:rFonts w:hint="eastAsia" w:ascii="仿宋" w:hAnsi="仿宋" w:eastAsia="仿宋" w:cs="宋体"/>
          <w:kern w:val="2"/>
          <w:sz w:val="32"/>
          <w:szCs w:val="32"/>
        </w:rPr>
        <w:t>%；</w:t>
      </w:r>
    </w:p>
    <w:p w14:paraId="6010E18E"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</w:rPr>
        <w:t>1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宋体"/>
          <w:kern w:val="2"/>
          <w:sz w:val="32"/>
          <w:szCs w:val="32"/>
        </w:rPr>
        <w:t>、农林水支出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31491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占上年预算数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92.3</w:t>
      </w:r>
      <w:r>
        <w:rPr>
          <w:rFonts w:hint="eastAsia" w:ascii="仿宋" w:hAnsi="仿宋" w:eastAsia="仿宋" w:cs="宋体"/>
          <w:kern w:val="2"/>
          <w:sz w:val="32"/>
          <w:szCs w:val="32"/>
        </w:rPr>
        <w:t>%；</w:t>
      </w:r>
    </w:p>
    <w:p w14:paraId="00D20874"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宋体"/>
          <w:kern w:val="2"/>
          <w:sz w:val="32"/>
          <w:szCs w:val="32"/>
        </w:rPr>
        <w:t>、交通运输支出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5811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占上年预算数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40</w:t>
      </w:r>
      <w:r>
        <w:rPr>
          <w:rFonts w:hint="eastAsia" w:ascii="仿宋" w:hAnsi="仿宋" w:eastAsia="仿宋" w:cs="宋体"/>
          <w:kern w:val="2"/>
          <w:sz w:val="32"/>
          <w:szCs w:val="32"/>
        </w:rPr>
        <w:t>%；</w:t>
      </w:r>
    </w:p>
    <w:p w14:paraId="0A79A2B0"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</w:rPr>
        <w:t>1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宋体"/>
          <w:kern w:val="2"/>
          <w:sz w:val="32"/>
          <w:szCs w:val="32"/>
        </w:rPr>
        <w:t>、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资源勘探信息等事务支出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2015万元，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占上年预算数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33.2</w:t>
      </w:r>
      <w:r>
        <w:rPr>
          <w:rFonts w:hint="eastAsia" w:ascii="仿宋" w:hAnsi="仿宋" w:eastAsia="仿宋" w:cs="宋体"/>
          <w:kern w:val="2"/>
          <w:sz w:val="32"/>
          <w:szCs w:val="32"/>
        </w:rPr>
        <w:t>%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；</w:t>
      </w:r>
    </w:p>
    <w:p w14:paraId="45B7EF14"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14、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商业服务业</w:t>
      </w:r>
      <w:r>
        <w:rPr>
          <w:rFonts w:hint="eastAsia" w:ascii="仿宋" w:hAnsi="仿宋" w:eastAsia="仿宋" w:cs="宋体"/>
          <w:kern w:val="2"/>
          <w:sz w:val="32"/>
          <w:szCs w:val="32"/>
        </w:rPr>
        <w:t>支出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451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占上年预算数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88.4</w:t>
      </w:r>
      <w:r>
        <w:rPr>
          <w:rFonts w:hint="eastAsia" w:ascii="仿宋" w:hAnsi="仿宋" w:eastAsia="仿宋" w:cs="宋体"/>
          <w:kern w:val="2"/>
          <w:sz w:val="32"/>
          <w:szCs w:val="32"/>
        </w:rPr>
        <w:t>%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；</w:t>
      </w:r>
    </w:p>
    <w:p w14:paraId="763D960C"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</w:rPr>
        <w:t>1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宋体"/>
          <w:kern w:val="2"/>
          <w:sz w:val="32"/>
          <w:szCs w:val="32"/>
        </w:rPr>
        <w:t>、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自然资源海洋气象等事务支出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1829万元，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占上年预算数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93.7</w:t>
      </w:r>
      <w:r>
        <w:rPr>
          <w:rFonts w:hint="eastAsia" w:ascii="仿宋" w:hAnsi="仿宋" w:eastAsia="仿宋" w:cs="宋体"/>
          <w:kern w:val="2"/>
          <w:sz w:val="32"/>
          <w:szCs w:val="32"/>
        </w:rPr>
        <w:t>%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；</w:t>
      </w:r>
    </w:p>
    <w:p w14:paraId="07E0C2A5"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16、住房保障支出4423万元，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占上年预算数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64</w:t>
      </w:r>
      <w:r>
        <w:rPr>
          <w:rFonts w:hint="eastAsia" w:ascii="仿宋" w:hAnsi="仿宋" w:eastAsia="仿宋" w:cs="宋体"/>
          <w:kern w:val="2"/>
          <w:sz w:val="32"/>
          <w:szCs w:val="32"/>
        </w:rPr>
        <w:t>%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；</w:t>
      </w:r>
    </w:p>
    <w:p w14:paraId="0D031AEA"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17、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粮油物资储备</w:t>
      </w:r>
      <w:r>
        <w:rPr>
          <w:rFonts w:hint="eastAsia" w:ascii="仿宋" w:hAnsi="仿宋" w:eastAsia="仿宋" w:cs="宋体"/>
          <w:kern w:val="2"/>
          <w:sz w:val="32"/>
          <w:szCs w:val="32"/>
        </w:rPr>
        <w:t>支出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553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占上年预算数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77</w:t>
      </w:r>
      <w:r>
        <w:rPr>
          <w:rFonts w:hint="eastAsia" w:ascii="仿宋" w:hAnsi="仿宋" w:eastAsia="仿宋" w:cs="宋体"/>
          <w:kern w:val="2"/>
          <w:sz w:val="32"/>
          <w:szCs w:val="32"/>
        </w:rPr>
        <w:t>%；</w:t>
      </w:r>
    </w:p>
    <w:p w14:paraId="22A9F5EE"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1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宋体"/>
          <w:sz w:val="32"/>
          <w:szCs w:val="32"/>
        </w:rPr>
        <w:t>、</w:t>
      </w:r>
      <w:r>
        <w:rPr>
          <w:rFonts w:hint="eastAsia" w:ascii="仿宋" w:hAnsi="仿宋" w:eastAsia="仿宋" w:cs="宋体"/>
          <w:sz w:val="32"/>
          <w:szCs w:val="32"/>
          <w:lang w:eastAsia="zh-CN"/>
        </w:rPr>
        <w:t>灾害防治及应急管理支出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2296万元，占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上年预算数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的89.3%</w:t>
      </w:r>
      <w:r>
        <w:rPr>
          <w:rFonts w:hint="eastAsia" w:ascii="仿宋" w:hAnsi="仿宋" w:eastAsia="仿宋" w:cs="宋体"/>
          <w:kern w:val="2"/>
          <w:sz w:val="32"/>
          <w:szCs w:val="32"/>
        </w:rPr>
        <w:t>；</w:t>
      </w:r>
    </w:p>
    <w:p w14:paraId="3FDB9C5B">
      <w:pPr>
        <w:spacing w:line="600" w:lineRule="exact"/>
        <w:ind w:firstLine="480" w:firstLineChars="150"/>
        <w:rPr>
          <w:rFonts w:hint="eastAsia" w:ascii="仿宋" w:hAnsi="仿宋" w:eastAsia="仿宋" w:cs="宋体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17、</w:t>
      </w:r>
      <w:r>
        <w:rPr>
          <w:rFonts w:hint="eastAsia" w:ascii="仿宋" w:hAnsi="仿宋" w:eastAsia="仿宋" w:cs="宋体"/>
          <w:sz w:val="32"/>
          <w:szCs w:val="32"/>
        </w:rPr>
        <w:t>债务付息支出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5649</w:t>
      </w:r>
      <w:r>
        <w:rPr>
          <w:rFonts w:hint="eastAsia" w:ascii="仿宋" w:hAnsi="仿宋" w:eastAsia="仿宋" w:cs="宋体"/>
          <w:sz w:val="32"/>
          <w:szCs w:val="32"/>
        </w:rPr>
        <w:t>万元，</w:t>
      </w:r>
      <w:r>
        <w:rPr>
          <w:rFonts w:hint="eastAsia" w:ascii="仿宋" w:hAnsi="仿宋" w:eastAsia="仿宋" w:cs="宋体"/>
          <w:sz w:val="32"/>
          <w:szCs w:val="32"/>
          <w:lang w:eastAsia="zh-CN"/>
        </w:rPr>
        <w:t>占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上年预算数</w:t>
      </w:r>
      <w:r>
        <w:rPr>
          <w:rFonts w:hint="eastAsia" w:ascii="仿宋" w:hAnsi="仿宋" w:eastAsia="仿宋" w:cs="宋体"/>
          <w:sz w:val="32"/>
          <w:szCs w:val="32"/>
        </w:rPr>
        <w:t>的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97.6</w:t>
      </w:r>
      <w:r>
        <w:rPr>
          <w:rFonts w:hint="eastAsia" w:ascii="仿宋" w:hAnsi="仿宋" w:eastAsia="仿宋" w:cs="宋体"/>
          <w:sz w:val="32"/>
          <w:szCs w:val="32"/>
        </w:rPr>
        <w:t>%</w:t>
      </w:r>
      <w:r>
        <w:rPr>
          <w:rFonts w:hint="eastAsia" w:ascii="仿宋" w:hAnsi="仿宋" w:eastAsia="仿宋" w:cs="宋体"/>
          <w:sz w:val="32"/>
          <w:szCs w:val="32"/>
          <w:lang w:eastAsia="zh-CN"/>
        </w:rPr>
        <w:t>。</w:t>
      </w:r>
    </w:p>
    <w:p w14:paraId="2704281B">
      <w:pPr>
        <w:spacing w:line="600" w:lineRule="exact"/>
        <w:ind w:firstLine="482" w:firstLineChars="150"/>
        <w:rPr>
          <w:rFonts w:hint="eastAsia" w:ascii="楷体" w:hAnsi="楷体" w:eastAsia="楷体" w:cs="楷体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  <w:lang w:val="en-US" w:eastAsia="zh-CN"/>
        </w:rPr>
        <w:t>（二）上解支出</w:t>
      </w:r>
    </w:p>
    <w:p w14:paraId="4346F740">
      <w:pPr>
        <w:pStyle w:val="6"/>
        <w:shd w:val="clear" w:color="auto" w:fill="FFFFFF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 w:bidi="ar-SA"/>
        </w:rPr>
        <w:t>2023年预计上解支出33474万元，主要为省与市县财政体制改革上解-1625万元，其他省市税收分成、地税部门增量等各项上解35099万元。</w:t>
      </w:r>
    </w:p>
    <w:p w14:paraId="195E0CFF">
      <w:pPr>
        <w:shd w:val="solid" w:color="FFFFFF" w:fill="auto"/>
        <w:autoSpaceDN w:val="0"/>
        <w:spacing w:line="330" w:lineRule="atLeast"/>
        <w:rPr>
          <w:rFonts w:hint="eastAsia" w:ascii="仿宋" w:hAnsi="仿宋" w:eastAsia="仿宋"/>
          <w:color w:val="FF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color w:val="FF0000"/>
          <w:sz w:val="32"/>
          <w:szCs w:val="32"/>
          <w:shd w:val="clear" w:color="auto" w:fill="FFFFFF"/>
          <w:lang w:val="en-US" w:eastAsia="zh-CN"/>
        </w:rPr>
        <w:t xml:space="preserve">  </w:t>
      </w:r>
    </w:p>
    <w:p w14:paraId="0A90065A">
      <w:pPr>
        <w:pStyle w:val="2"/>
        <w:rPr>
          <w:rFonts w:hint="eastAsia"/>
          <w:lang w:val="en-US" w:eastAsia="zh-CN"/>
        </w:rPr>
      </w:pPr>
    </w:p>
    <w:p w14:paraId="69E3E85F">
      <w:pPr>
        <w:keepNext w:val="0"/>
        <w:keepLines w:val="0"/>
        <w:pageBreakBefore w:val="0"/>
        <w:widowControl w:val="0"/>
        <w:numPr>
          <w:ilvl w:val="0"/>
          <w:numId w:val="1"/>
        </w:numPr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楷体" w:hAnsi="楷体" w:eastAsia="楷体" w:cs="楷体"/>
          <w:b/>
          <w:bCs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 xml:space="preserve">   孟州市市本级政府性基金预算收支情况说明</w:t>
      </w:r>
    </w:p>
    <w:p w14:paraId="5F897E7F">
      <w:pPr>
        <w:keepNext w:val="0"/>
        <w:keepLines w:val="0"/>
        <w:pageBreakBefore w:val="0"/>
        <w:widowControl w:val="0"/>
        <w:numPr>
          <w:ilvl w:val="0"/>
          <w:numId w:val="0"/>
        </w:numPr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0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/>
          <w:b/>
          <w:bCs/>
          <w:color w:val="auto"/>
          <w:sz w:val="32"/>
          <w:szCs w:val="32"/>
          <w:shd w:val="clear" w:color="auto" w:fill="FFFFFF"/>
          <w:lang w:val="en-US" w:eastAsia="zh-CN"/>
        </w:rPr>
      </w:pPr>
    </w:p>
    <w:p w14:paraId="6E1CE6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00" w:lineRule="exact"/>
        <w:ind w:left="0" w:leftChars="0"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20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  <w:t>23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年政府性基金收入情况说明</w:t>
      </w:r>
    </w:p>
    <w:p w14:paraId="07263800">
      <w:pPr>
        <w:widowControl/>
        <w:autoSpaceDN w:val="0"/>
        <w:spacing w:line="560" w:lineRule="atLeast"/>
        <w:ind w:left="1" w:firstLine="640"/>
        <w:rPr>
          <w:rFonts w:hint="eastAsia"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</w:rPr>
        <w:t>基金预算全口径收入安排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154804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万元，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较上年决算（执行数）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下降9.1%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，原因主要是：20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年上级债券转贷新增专项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债券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收入安排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72600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万元。其中：</w:t>
      </w:r>
    </w:p>
    <w:p w14:paraId="3B851359">
      <w:pPr>
        <w:widowControl/>
        <w:autoSpaceDN w:val="0"/>
        <w:spacing w:line="560" w:lineRule="atLeast"/>
        <w:ind w:firstLine="643" w:firstLineChars="200"/>
        <w:rPr>
          <w:rFonts w:hint="eastAsia"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</w:rPr>
        <w:t>（一）地方级预算收入安排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lang w:val="en-US" w:eastAsia="zh-CN"/>
        </w:rPr>
        <w:t>38300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</w:rPr>
        <w:t>万元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，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较上年决算（执行数）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增长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62.3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%。主要收入项目是：</w:t>
      </w:r>
    </w:p>
    <w:p w14:paraId="04425099">
      <w:pPr>
        <w:widowControl/>
        <w:numPr>
          <w:ilvl w:val="0"/>
          <w:numId w:val="0"/>
        </w:numPr>
        <w:autoSpaceDN w:val="0"/>
        <w:spacing w:line="560" w:lineRule="atLeast"/>
        <w:ind w:left="641" w:leftChars="0"/>
        <w:rPr>
          <w:rFonts w:hint="eastAsia"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国有土地收益基金收入安排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600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万元；</w:t>
      </w:r>
    </w:p>
    <w:p w14:paraId="1440D5B6">
      <w:pPr>
        <w:widowControl/>
        <w:numPr>
          <w:ilvl w:val="0"/>
          <w:numId w:val="0"/>
        </w:numPr>
        <w:autoSpaceDN w:val="0"/>
        <w:spacing w:line="560" w:lineRule="atLeast"/>
        <w:ind w:left="641" w:leftChars="0"/>
        <w:rPr>
          <w:rFonts w:hint="eastAsia"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农业土地开发资金收入安排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200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万元；</w:t>
      </w:r>
    </w:p>
    <w:p w14:paraId="1C93EB1E">
      <w:pPr>
        <w:pStyle w:val="2"/>
        <w:rPr>
          <w:rFonts w:hint="eastAsia" w:eastAsia="仿宋"/>
          <w:lang w:val="en-US" w:eastAsia="zh-CN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3、国有土地使用权出让收入安排34300万元；</w:t>
      </w:r>
    </w:p>
    <w:p w14:paraId="0A84E364">
      <w:pPr>
        <w:widowControl/>
        <w:numPr>
          <w:ilvl w:val="0"/>
          <w:numId w:val="0"/>
        </w:numPr>
        <w:autoSpaceDN w:val="0"/>
        <w:spacing w:line="560" w:lineRule="atLeast"/>
        <w:ind w:left="641" w:leftChars="0"/>
        <w:rPr>
          <w:rFonts w:hint="eastAsia" w:ascii="仿宋" w:hAnsi="仿宋" w:eastAsia="仿宋"/>
          <w:color w:val="auto"/>
          <w:kern w:val="0"/>
          <w:sz w:val="32"/>
          <w:szCs w:val="32"/>
          <w:lang w:val="en-US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3、城市基础设施配套费收入安排2000万元；</w:t>
      </w:r>
    </w:p>
    <w:p w14:paraId="52544AE4">
      <w:pPr>
        <w:widowControl/>
        <w:numPr>
          <w:ilvl w:val="0"/>
          <w:numId w:val="0"/>
        </w:numPr>
        <w:autoSpaceDN w:val="0"/>
        <w:spacing w:line="560" w:lineRule="atLeast"/>
        <w:ind w:left="641" w:leftChars="0"/>
        <w:rPr>
          <w:rFonts w:hint="eastAsia"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4、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污水处理费收入安排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1200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。</w:t>
      </w:r>
    </w:p>
    <w:p w14:paraId="36B235A1">
      <w:pPr>
        <w:widowControl/>
        <w:autoSpaceDN w:val="0"/>
        <w:spacing w:line="560" w:lineRule="atLeast"/>
        <w:ind w:left="1" w:firstLine="640"/>
        <w:rPr>
          <w:rFonts w:hint="eastAsia"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</w:rPr>
        <w:t>（二）上级提前告知转移支付补助收入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lang w:val="en-US" w:eastAsia="zh-CN"/>
        </w:rPr>
        <w:t>4715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</w:rPr>
        <w:t>万元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主要是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大中型水库移民后期扶持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基金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4386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万元、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农林水发展类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97万元、彩票公益金支持社会事业发展专项232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万元。</w:t>
      </w:r>
    </w:p>
    <w:p w14:paraId="09C40444">
      <w:pPr>
        <w:widowControl/>
        <w:autoSpaceDN w:val="0"/>
        <w:spacing w:line="560" w:lineRule="atLeast"/>
        <w:ind w:left="1" w:firstLine="640"/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</w:rPr>
        <w:t>（三）上年结转收入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lang w:val="en-US" w:eastAsia="zh-CN"/>
        </w:rPr>
        <w:t>88289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</w:rPr>
        <w:t>万元。</w:t>
      </w:r>
    </w:p>
    <w:p w14:paraId="1572526C">
      <w:pPr>
        <w:widowControl/>
        <w:autoSpaceDN w:val="0"/>
        <w:spacing w:line="560" w:lineRule="atLeast"/>
        <w:ind w:left="1" w:firstLine="640"/>
        <w:rPr>
          <w:rFonts w:hint="eastAsia"/>
        </w:rPr>
      </w:pP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</w:rPr>
        <w:t>（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lang w:eastAsia="zh-CN"/>
        </w:rPr>
        <w:t>四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</w:rPr>
        <w:t>）政府专项债务转贷收入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lang w:val="en-US" w:eastAsia="zh-CN"/>
        </w:rPr>
        <w:t>23500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</w:rPr>
        <w:t>万元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主要是：城区合流制管网综合提升改造项目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10000万元、城乡供排水一体化项目13500万元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。</w:t>
      </w:r>
    </w:p>
    <w:p w14:paraId="66D1EE3D">
      <w:pPr>
        <w:widowControl/>
        <w:autoSpaceDN w:val="0"/>
        <w:spacing w:line="560" w:lineRule="atLeast"/>
        <w:ind w:left="1" w:firstLine="640"/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</w:rPr>
        <w:t>、20</w:t>
      </w:r>
      <w:r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  <w:lang w:val="en-US" w:eastAsia="zh-CN"/>
        </w:rPr>
        <w:t>23</w:t>
      </w:r>
      <w:r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</w:rPr>
        <w:t>年政府性基金支出情况说明</w:t>
      </w:r>
    </w:p>
    <w:p w14:paraId="04E79935">
      <w:pPr>
        <w:widowControl/>
        <w:autoSpaceDN w:val="0"/>
        <w:spacing w:line="560" w:lineRule="atLeast"/>
        <w:ind w:left="1" w:firstLine="624"/>
        <w:rPr>
          <w:rFonts w:hint="eastAsia"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</w:rPr>
        <w:t>基金预算支出：20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年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政府性基金预算总支出安排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154804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万元，其中：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地方级支出安排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144084万元，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  <w:highlight w:val="none"/>
          <w:lang w:eastAsia="zh-CN"/>
        </w:rPr>
        <w:t>占上年预算数的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  <w:highlight w:val="none"/>
          <w:lang w:val="en-US" w:eastAsia="zh-CN"/>
        </w:rPr>
        <w:t>99.6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  <w:highlight w:val="none"/>
        </w:rPr>
        <w:t>%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</w:rPr>
        <w:t>上解支出安排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  <w:lang w:val="en-US" w:eastAsia="zh-CN"/>
        </w:rPr>
        <w:t>80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</w:rPr>
        <w:t>万元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  <w:lang w:eastAsia="zh-CN"/>
        </w:rPr>
        <w:t>；调出资金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  <w:lang w:val="en-US" w:eastAsia="zh-CN"/>
        </w:rPr>
        <w:t>10200万元；专项债务还本440万元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。主要支出科目是：</w:t>
      </w:r>
    </w:p>
    <w:p w14:paraId="780CC031">
      <w:pPr>
        <w:widowControl/>
        <w:numPr>
          <w:ilvl w:val="0"/>
          <w:numId w:val="0"/>
        </w:numPr>
        <w:autoSpaceDN w:val="0"/>
        <w:spacing w:line="560" w:lineRule="atLeast"/>
        <w:ind w:firstLine="640"/>
        <w:rPr>
          <w:rFonts w:hint="eastAsia"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、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文化旅游体育与传媒支出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2万元。</w:t>
      </w:r>
    </w:p>
    <w:p w14:paraId="5DBE449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atLeast"/>
        <w:ind w:firstLine="640"/>
        <w:textAlignment w:val="auto"/>
        <w:rPr>
          <w:rFonts w:hint="eastAsia"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社会保障和就业支出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10733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万元，主要用于大中型水库移民后期扶持。</w:t>
      </w:r>
    </w:p>
    <w:p w14:paraId="4AE796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atLeast"/>
        <w:textAlignment w:val="auto"/>
        <w:rPr>
          <w:rFonts w:hint="eastAsia"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</w:rPr>
        <w:t xml:space="preserve">    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、城乡社区事务支出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25123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万元，主要用于：土地出让征地拆迁补偿、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补助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被征地农民、农村基础设施建设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公共租赁住房、农业土地开发、污水处理费等项目。</w:t>
      </w:r>
    </w:p>
    <w:p w14:paraId="40BC9C46">
      <w:pPr>
        <w:widowControl/>
        <w:autoSpaceDN w:val="0"/>
        <w:spacing w:line="560" w:lineRule="atLeast"/>
        <w:ind w:firstLine="660"/>
        <w:rPr>
          <w:rFonts w:hint="eastAsia"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、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农林水支出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426万元，主要用于水利移民扶持项目。</w:t>
      </w:r>
    </w:p>
    <w:p w14:paraId="6B531589">
      <w:pPr>
        <w:widowControl/>
        <w:autoSpaceDN w:val="0"/>
        <w:spacing w:line="560" w:lineRule="atLeast"/>
        <w:ind w:firstLine="660"/>
        <w:rPr>
          <w:rFonts w:hint="eastAsia"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5、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其他支出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99820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万元，主要用于：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专项债券收入安排的支出、社会福利、残疾人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事业。</w:t>
      </w:r>
    </w:p>
    <w:p w14:paraId="72670826">
      <w:pPr>
        <w:widowControl/>
        <w:autoSpaceDN w:val="0"/>
        <w:spacing w:line="560" w:lineRule="atLeast"/>
        <w:ind w:firstLine="660"/>
        <w:rPr>
          <w:rFonts w:hint="eastAsia"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、债务付息支出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7980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万元。</w:t>
      </w:r>
    </w:p>
    <w:p w14:paraId="565908AE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="0" w:beforeAutospacing="0" w:after="0" w:afterAutospacing="0" w:line="500" w:lineRule="exact"/>
        <w:ind w:left="0" w:leftChars="0"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FF0000"/>
          <w:sz w:val="32"/>
          <w:szCs w:val="32"/>
          <w:lang w:val="en-US" w:eastAsia="zh-CN"/>
        </w:rPr>
      </w:pPr>
    </w:p>
    <w:p w14:paraId="28BC7C1E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="0" w:beforeAutospacing="0" w:after="0" w:afterAutospacing="0" w:line="500" w:lineRule="exact"/>
        <w:ind w:left="0" w:leftChars="0"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</w:p>
    <w:p w14:paraId="09F237F4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="0" w:beforeAutospacing="0" w:after="0" w:afterAutospacing="0" w:line="500" w:lineRule="exact"/>
        <w:ind w:left="0" w:leftChars="0" w:right="0" w:rightChars="0"/>
        <w:jc w:val="center"/>
        <w:textAlignment w:val="auto"/>
        <w:outlineLvl w:val="9"/>
        <w:rPr>
          <w:rFonts w:hint="eastAsia" w:ascii="楷体" w:hAnsi="楷体" w:eastAsia="楷体" w:cs="楷体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>第三章  孟州市市本级社会保险基金预算收支情况说明</w:t>
      </w:r>
    </w:p>
    <w:p w14:paraId="736440B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500" w:lineRule="exact"/>
        <w:ind w:left="0" w:leftChars="0" w:right="0" w:rightChars="0" w:firstLine="660"/>
        <w:jc w:val="left"/>
        <w:textAlignment w:val="auto"/>
        <w:outlineLvl w:val="9"/>
        <w:rPr>
          <w:rFonts w:hint="eastAsia" w:ascii="仿宋" w:hAnsi="仿宋" w:eastAsia="仿宋"/>
          <w:color w:val="FF0000"/>
          <w:sz w:val="32"/>
          <w:szCs w:val="32"/>
          <w:lang w:eastAsia="zh-CN"/>
        </w:rPr>
      </w:pPr>
    </w:p>
    <w:p w14:paraId="57FB0DE8">
      <w:pPr>
        <w:kinsoku w:val="0"/>
        <w:overflowPunct w:val="0"/>
        <w:adjustRightInd w:val="0"/>
        <w:snapToGrid w:val="0"/>
        <w:spacing w:line="360" w:lineRule="auto"/>
        <w:ind w:right="46" w:rightChars="0"/>
        <w:jc w:val="left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 xml:space="preserve">    由于我市社会保险基金预算包含市本级和乡镇预算，未独立核算市本级社会保险基金预算，因此市本级暂未编制社会保险基金预算。</w:t>
      </w:r>
    </w:p>
    <w:p w14:paraId="62211EAC">
      <w:pPr>
        <w:kinsoku w:val="0"/>
        <w:overflowPunct w:val="0"/>
        <w:adjustRightInd w:val="0"/>
        <w:snapToGrid w:val="0"/>
        <w:spacing w:line="360" w:lineRule="auto"/>
        <w:ind w:right="521"/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</w:p>
    <w:p w14:paraId="328C73FF">
      <w:pPr>
        <w:pStyle w:val="2"/>
        <w:rPr>
          <w:rFonts w:hint="eastAsia"/>
          <w:lang w:val="en-US" w:eastAsia="zh-CN"/>
        </w:rPr>
      </w:pPr>
    </w:p>
    <w:p w14:paraId="6EBB23A9">
      <w:pPr>
        <w:numPr>
          <w:ilvl w:val="0"/>
          <w:numId w:val="0"/>
        </w:numPr>
        <w:kinsoku w:val="0"/>
        <w:overflowPunct w:val="0"/>
        <w:adjustRightInd w:val="0"/>
        <w:snapToGrid w:val="0"/>
        <w:spacing w:line="360" w:lineRule="auto"/>
        <w:ind w:right="46" w:rightChars="0"/>
        <w:jc w:val="center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第四章  孟州市市本级国有资本经营预算收支情况说明</w:t>
      </w:r>
    </w:p>
    <w:p w14:paraId="25BC809A">
      <w:pPr>
        <w:numPr>
          <w:ilvl w:val="0"/>
          <w:numId w:val="0"/>
        </w:numPr>
        <w:kinsoku w:val="0"/>
        <w:overflowPunct w:val="0"/>
        <w:adjustRightInd w:val="0"/>
        <w:snapToGrid w:val="0"/>
        <w:spacing w:line="360" w:lineRule="auto"/>
        <w:ind w:right="521" w:rightChars="0"/>
        <w:jc w:val="both"/>
        <w:rPr>
          <w:rFonts w:hint="eastAsia" w:ascii="仿宋" w:hAnsi="仿宋" w:eastAsia="仿宋" w:cstheme="minorBidi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theme="minorBidi"/>
          <w:color w:val="auto"/>
          <w:kern w:val="0"/>
          <w:sz w:val="32"/>
          <w:szCs w:val="32"/>
          <w:lang w:val="en-US" w:eastAsia="zh-CN" w:bidi="ar-SA"/>
        </w:rPr>
        <w:t xml:space="preserve">    </w:t>
      </w:r>
    </w:p>
    <w:p w14:paraId="785AAD7D">
      <w:pPr>
        <w:numPr>
          <w:ilvl w:val="0"/>
          <w:numId w:val="0"/>
        </w:numPr>
        <w:kinsoku w:val="0"/>
        <w:overflowPunct w:val="0"/>
        <w:adjustRightInd w:val="0"/>
        <w:snapToGrid w:val="0"/>
        <w:spacing w:line="360" w:lineRule="auto"/>
        <w:ind w:right="521" w:rightChars="0" w:firstLine="640"/>
        <w:jc w:val="both"/>
        <w:rPr>
          <w:rFonts w:hint="eastAsia" w:ascii="仿宋" w:hAnsi="仿宋" w:eastAsia="仿宋" w:cstheme="minorBidi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theme="minorBidi"/>
          <w:color w:val="auto"/>
          <w:kern w:val="0"/>
          <w:sz w:val="32"/>
          <w:szCs w:val="32"/>
          <w:lang w:val="en-US" w:eastAsia="zh-CN" w:bidi="ar-SA"/>
        </w:rPr>
        <w:t>2023年我市市本级国有资本经营预算收入209万元，其中：上级转移支付收入为30万元、本级利润收入62万元、其他国有资本收入38万元、上年结转收入79万元。</w:t>
      </w:r>
    </w:p>
    <w:p w14:paraId="7A54806D">
      <w:pPr>
        <w:numPr>
          <w:ilvl w:val="0"/>
          <w:numId w:val="0"/>
        </w:numPr>
        <w:kinsoku w:val="0"/>
        <w:overflowPunct w:val="0"/>
        <w:adjustRightInd w:val="0"/>
        <w:snapToGrid w:val="0"/>
        <w:spacing w:line="360" w:lineRule="auto"/>
        <w:ind w:right="521" w:rightChars="0" w:firstLine="640"/>
        <w:jc w:val="both"/>
        <w:rPr>
          <w:rFonts w:hint="eastAsia" w:ascii="仿宋" w:hAnsi="仿宋" w:eastAsia="仿宋" w:cstheme="minorBidi"/>
          <w:color w:val="auto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theme="minorBidi"/>
          <w:color w:val="auto"/>
          <w:kern w:val="0"/>
          <w:sz w:val="32"/>
          <w:szCs w:val="32"/>
          <w:lang w:val="en-US" w:eastAsia="zh-CN" w:bidi="ar-SA"/>
        </w:rPr>
        <w:t>2023年我市市本级国有资本经营预算支出209万元，</w:t>
      </w:r>
      <w:r>
        <w:rPr>
          <w:rFonts w:hint="eastAsia" w:ascii="仿宋" w:hAnsi="仿宋" w:eastAsia="仿宋" w:cstheme="minorBidi"/>
          <w:color w:val="auto"/>
          <w:kern w:val="0"/>
          <w:sz w:val="32"/>
          <w:szCs w:val="32"/>
          <w:highlight w:val="none"/>
          <w:lang w:val="en-US" w:eastAsia="zh-CN" w:bidi="ar-SA"/>
        </w:rPr>
        <w:t>主要用于国有企业退休人员社会化管理补助支出109万元、调出资金100万元。</w:t>
      </w:r>
    </w:p>
    <w:p w14:paraId="3E9AEDD0">
      <w:pPr>
        <w:numPr>
          <w:ilvl w:val="0"/>
          <w:numId w:val="0"/>
        </w:numPr>
        <w:kinsoku w:val="0"/>
        <w:overflowPunct w:val="0"/>
        <w:adjustRightInd w:val="0"/>
        <w:snapToGrid w:val="0"/>
        <w:spacing w:line="360" w:lineRule="auto"/>
        <w:ind w:right="521" w:rightChars="0"/>
        <w:jc w:val="both"/>
        <w:rPr>
          <w:rFonts w:hint="eastAsia" w:ascii="仿宋" w:hAnsi="仿宋" w:eastAsia="仿宋" w:cstheme="minorBidi"/>
          <w:color w:val="auto"/>
          <w:kern w:val="0"/>
          <w:sz w:val="32"/>
          <w:szCs w:val="32"/>
          <w:lang w:val="en-US" w:eastAsia="zh-CN" w:bidi="ar-SA"/>
        </w:rPr>
      </w:pPr>
    </w:p>
    <w:p w14:paraId="26A4E853">
      <w:pPr>
        <w:pStyle w:val="6"/>
        <w:shd w:val="clear" w:color="auto" w:fill="FFFFFF"/>
        <w:spacing w:before="0" w:beforeAutospacing="0" w:after="0" w:afterAutospacing="0"/>
        <w:ind w:firstLine="480"/>
        <w:jc w:val="both"/>
        <w:rPr>
          <w:rFonts w:hint="eastAsia" w:ascii="仿宋" w:hAnsi="仿宋" w:eastAsia="仿宋" w:cstheme="minorBidi"/>
          <w:color w:val="auto"/>
          <w:kern w:val="0"/>
          <w:sz w:val="32"/>
          <w:szCs w:val="32"/>
          <w:lang w:val="en-US" w:eastAsia="zh-CN" w:bidi="ar-SA"/>
        </w:rPr>
      </w:pPr>
    </w:p>
    <w:p w14:paraId="6EDC5446">
      <w:pPr>
        <w:numPr>
          <w:ilvl w:val="0"/>
          <w:numId w:val="4"/>
        </w:numPr>
        <w:spacing w:line="600" w:lineRule="exact"/>
        <w:jc w:val="center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 xml:space="preserve"> 孟州市市本级“三公”经费预算安排情况说明</w:t>
      </w:r>
    </w:p>
    <w:p w14:paraId="7B359FBD">
      <w:pPr>
        <w:pStyle w:val="2"/>
        <w:numPr>
          <w:ilvl w:val="0"/>
          <w:numId w:val="0"/>
        </w:numPr>
        <w:ind w:leftChars="200" w:right="0" w:rightChars="0"/>
        <w:rPr>
          <w:rFonts w:hint="eastAsia"/>
          <w:lang w:eastAsia="zh-CN"/>
        </w:rPr>
      </w:pPr>
    </w:p>
    <w:p w14:paraId="0AF1A4E6">
      <w:pPr>
        <w:shd w:val="solid" w:color="FFFFFF" w:fill="auto"/>
        <w:autoSpaceDN w:val="0"/>
        <w:spacing w:line="580" w:lineRule="atLeast"/>
        <w:ind w:firstLine="640"/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根据《河南省人民政府办公厅关于进一步深化全省部门预算改革的通知》（豫政办〔2011〕105号）要求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以及焦治办【2013】1号文的精神，以“厉行节约、降低行政成本”为原则，严格控制我市“三公”经费预决算数，同时予以公开，接收社会各界广泛监督。</w:t>
      </w:r>
    </w:p>
    <w:p w14:paraId="7E740710">
      <w:pPr>
        <w:shd w:val="solid" w:color="FFFFFF" w:fill="auto"/>
        <w:autoSpaceDN w:val="0"/>
        <w:spacing w:line="330" w:lineRule="atLeast"/>
        <w:ind w:firstLine="640"/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经汇总市本级部门预算，2023年一般公共预算安排“三公”经费支出预算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877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万元，比上年增长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19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%，增加支出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140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万元。其中：</w:t>
      </w:r>
    </w:p>
    <w:p w14:paraId="4478CB1C">
      <w:pPr>
        <w:shd w:val="solid" w:color="FFFFFF" w:fill="auto"/>
        <w:autoSpaceDN w:val="0"/>
        <w:spacing w:line="330" w:lineRule="atLeast"/>
        <w:ind w:firstLine="640"/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因公出国（境）费0万元，与2022年持平。</w:t>
      </w:r>
    </w:p>
    <w:p w14:paraId="0AF94787">
      <w:pPr>
        <w:shd w:val="solid" w:color="FFFFFF" w:fill="auto"/>
        <w:autoSpaceDN w:val="0"/>
        <w:spacing w:line="330" w:lineRule="atLeast"/>
        <w:ind w:firstLine="640"/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公务接待安排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340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万元，比2022年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eastAsia="zh-CN"/>
        </w:rPr>
        <w:t>减少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0.3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%，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eastAsia="zh-CN"/>
        </w:rPr>
        <w:t>减少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支出1万元，增长主要原因是根据实际业务需要，略有增加。</w:t>
      </w:r>
    </w:p>
    <w:p w14:paraId="6167E435">
      <w:pPr>
        <w:shd w:val="solid" w:color="FFFFFF" w:fill="auto"/>
        <w:autoSpaceDN w:val="0"/>
        <w:spacing w:line="330" w:lineRule="atLeast"/>
        <w:ind w:firstLine="640"/>
        <w:rPr>
          <w:rFonts w:ascii="仿宋" w:hAnsi="仿宋" w:eastAsia="仿宋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公务用车购置及运行费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37万元，比2022年增长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35.6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%,增加支出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1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41万元。其中：车辆购置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48万元，比2022年增长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87.9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%，增加支出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1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16万元,原因是按照公车购置规定，2023年需更新购置公务用车数量增加；公务用车运行维护</w:t>
      </w:r>
      <w:bookmarkStart w:id="0" w:name="_GoBack"/>
      <w:bookmarkEnd w:id="0"/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费289万元，比2022年增长9.5%，增加支出25万元,主要原因是公务用车增加，导致对应支出增加。</w:t>
      </w:r>
    </w:p>
    <w:p w14:paraId="7FCDA4A0">
      <w:pPr>
        <w:pStyle w:val="2"/>
        <w:rPr>
          <w:rFonts w:ascii="仿宋" w:hAnsi="仿宋" w:eastAsia="仿宋"/>
          <w:color w:val="auto"/>
          <w:sz w:val="32"/>
          <w:szCs w:val="32"/>
          <w:shd w:val="clear" w:color="auto" w:fill="FFFFFF"/>
        </w:rPr>
      </w:pPr>
    </w:p>
    <w:p w14:paraId="037F2FBA">
      <w:pPr>
        <w:pStyle w:val="2"/>
        <w:rPr>
          <w:rFonts w:ascii="仿宋" w:hAnsi="仿宋" w:eastAsia="仿宋"/>
          <w:color w:val="auto"/>
          <w:sz w:val="32"/>
          <w:szCs w:val="32"/>
          <w:shd w:val="clear" w:color="auto" w:fill="FFFFFF"/>
        </w:rPr>
      </w:pPr>
    </w:p>
    <w:p w14:paraId="0A9E8F35">
      <w:pPr>
        <w:numPr>
          <w:ilvl w:val="0"/>
          <w:numId w:val="4"/>
        </w:numPr>
        <w:spacing w:line="600" w:lineRule="exact"/>
        <w:jc w:val="center"/>
        <w:rPr>
          <w:rFonts w:hint="eastAsia" w:ascii="楷体" w:hAnsi="楷体" w:eastAsia="楷体" w:cs="楷体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  <w:lang w:val="en-US" w:eastAsia="zh-CN"/>
        </w:rPr>
        <w:t xml:space="preserve">  孟州市市本级债务情况说明</w:t>
      </w:r>
    </w:p>
    <w:p w14:paraId="2F371580">
      <w:pPr>
        <w:pStyle w:val="2"/>
        <w:rPr>
          <w:rFonts w:hint="eastAsia"/>
          <w:highlight w:val="yellow"/>
          <w:lang w:val="en-US" w:eastAsia="zh-CN"/>
        </w:rPr>
      </w:pPr>
    </w:p>
    <w:p w14:paraId="1BAA25C0">
      <w:pPr>
        <w:pStyle w:val="2"/>
        <w:numPr>
          <w:ilvl w:val="0"/>
          <w:numId w:val="0"/>
        </w:numPr>
        <w:ind w:right="0" w:rightChars="0"/>
        <w:rPr>
          <w:rFonts w:hint="eastAsia"/>
          <w:color w:val="auto"/>
          <w:lang w:val="en-US" w:eastAsia="zh-CN"/>
        </w:rPr>
      </w:pPr>
      <w:r>
        <w:rPr>
          <w:rFonts w:hint="eastAsia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截止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2022年末，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我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市政府债务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总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限额为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435061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元，其中：一般债务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限额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198361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元，专项债务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限额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236700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元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我市地方政府性债务总规模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403697万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元，其中一般债务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172174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万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元，专项债务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231523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万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元。综上所述，我市地方债务规模严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格控制在规定限额之内。</w:t>
      </w:r>
    </w:p>
    <w:p w14:paraId="0360C54B">
      <w:pPr>
        <w:shd w:val="solid" w:color="FFFFFF" w:fill="auto"/>
        <w:autoSpaceDN w:val="0"/>
        <w:spacing w:line="330" w:lineRule="atLeast"/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一、一般债务限额余额情况说明</w:t>
      </w:r>
    </w:p>
    <w:p w14:paraId="159C2656">
      <w:pPr>
        <w:shd w:val="solid" w:color="FFFFFF" w:fill="auto"/>
        <w:autoSpaceDN w:val="0"/>
        <w:spacing w:line="330" w:lineRule="atLeast"/>
        <w:rPr>
          <w:rFonts w:hint="eastAsia" w:ascii="仿宋" w:hAnsi="仿宋" w:eastAsia="仿宋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1、2022年末一般债务限额情况</w:t>
      </w:r>
      <w:r>
        <w:rPr>
          <w:rFonts w:hint="eastAsia" w:ascii="仿宋" w:hAnsi="仿宋" w:eastAsia="仿宋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 xml:space="preserve">  </w:t>
      </w:r>
    </w:p>
    <w:p w14:paraId="75FF8998">
      <w:pPr>
        <w:shd w:val="solid" w:color="FFFFFF" w:fill="auto"/>
        <w:autoSpaceDN w:val="0"/>
        <w:spacing w:line="330" w:lineRule="atLeast"/>
        <w:ind w:firstLine="642"/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20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21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末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上级核定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我市一般债务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总限额为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197993万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元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，加上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2022年当年新增一般债务限额368万元，2022年末我市一般债务限额为198361万元。</w:t>
      </w:r>
    </w:p>
    <w:p w14:paraId="1519D9D9">
      <w:pPr>
        <w:shd w:val="solid" w:color="FFFFFF" w:fill="auto"/>
        <w:autoSpaceDN w:val="0"/>
        <w:spacing w:line="330" w:lineRule="atLeast"/>
        <w:ind w:firstLine="642"/>
        <w:rPr>
          <w:rFonts w:hint="eastAsia" w:ascii="仿宋" w:hAnsi="仿宋" w:eastAsia="仿宋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highlight w:val="none"/>
          <w:lang w:val="en-US" w:eastAsia="zh-CN"/>
        </w:rPr>
        <w:t>2、2022年末一般债务余额情况</w:t>
      </w:r>
    </w:p>
    <w:p w14:paraId="39AD6A42">
      <w:pPr>
        <w:shd w:val="solid" w:color="FFFFFF" w:fill="auto"/>
        <w:autoSpaceDN w:val="0"/>
        <w:spacing w:line="330" w:lineRule="atLeast"/>
        <w:ind w:firstLine="642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20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21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年末我市地方政府性一般债务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余额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171957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万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元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，加上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2022年当年新增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一般债券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17568万元，减去2022年一般债务还本支出17351万元，2022年末我市一般债务余额为172174万元。我市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地方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一般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债务规模严格控制在规定限额之内。</w:t>
      </w:r>
    </w:p>
    <w:p w14:paraId="0F59AB74">
      <w:pPr>
        <w:widowControl/>
        <w:autoSpaceDN w:val="0"/>
        <w:spacing w:line="560" w:lineRule="atLeast"/>
        <w:rPr>
          <w:rFonts w:hint="eastAsia" w:ascii="仿宋" w:hAnsi="仿宋" w:eastAsia="仿宋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  <w:t>二、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val="en-US" w:eastAsia="zh-CN"/>
        </w:rPr>
        <w:t>专项债务限额和余额情况说明</w:t>
      </w:r>
    </w:p>
    <w:p w14:paraId="1BC0FE3E">
      <w:pPr>
        <w:shd w:val="solid" w:color="FFFFFF" w:fill="auto"/>
        <w:autoSpaceDN w:val="0"/>
        <w:spacing w:line="330" w:lineRule="atLeast"/>
        <w:rPr>
          <w:rFonts w:hint="eastAsia" w:ascii="仿宋" w:hAnsi="仿宋" w:eastAsia="仿宋"/>
          <w:b/>
          <w:bCs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b/>
          <w:bCs/>
          <w:color w:val="auto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>1、2022年末专项债务限额情况</w:t>
      </w:r>
      <w:r>
        <w:rPr>
          <w:rFonts w:hint="eastAsia" w:ascii="仿宋" w:hAnsi="仿宋" w:eastAsia="仿宋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 xml:space="preserve">  </w:t>
      </w:r>
    </w:p>
    <w:p w14:paraId="59E508E2">
      <w:pPr>
        <w:shd w:val="solid" w:color="FFFFFF" w:fill="auto"/>
        <w:autoSpaceDN w:val="0"/>
        <w:spacing w:line="330" w:lineRule="atLeast"/>
        <w:ind w:firstLine="642"/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</w:rPr>
        <w:t>20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</w:rPr>
        <w:t>年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eastAsia="zh-CN"/>
        </w:rPr>
        <w:t>末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上级核定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</w:rPr>
        <w:t>我市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eastAsia="zh-CN"/>
        </w:rPr>
        <w:t>专项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</w:rPr>
        <w:t>债务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eastAsia="zh-CN"/>
        </w:rPr>
        <w:t>总限额为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val="en-US" w:eastAsia="zh-CN"/>
        </w:rPr>
        <w:t>182400万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</w:rPr>
        <w:t>元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eastAsia="zh-CN"/>
        </w:rPr>
        <w:t>，加上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val="en-US" w:eastAsia="zh-CN"/>
        </w:rPr>
        <w:t>2022年当年新增专项债务限额60600万元，减去2022年收回专项债务限额6300万元，2022年末我市专项债务限额为236700万元。</w:t>
      </w:r>
    </w:p>
    <w:p w14:paraId="13367BCC">
      <w:pPr>
        <w:shd w:val="solid" w:color="FFFFFF" w:fill="auto"/>
        <w:autoSpaceDN w:val="0"/>
        <w:spacing w:line="330" w:lineRule="atLeast"/>
        <w:ind w:firstLine="642"/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>2、2022年末专项债务余额情况</w:t>
      </w:r>
    </w:p>
    <w:p w14:paraId="0F470D3A">
      <w:pPr>
        <w:shd w:val="solid" w:color="FFFFFF" w:fill="auto"/>
        <w:autoSpaceDN w:val="0"/>
        <w:spacing w:line="330" w:lineRule="atLeast"/>
        <w:ind w:firstLine="642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20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/>
          <w:color w:val="auto"/>
          <w:sz w:val="32"/>
          <w:szCs w:val="32"/>
        </w:rPr>
        <w:t>年末我市地方政府性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专项</w:t>
      </w:r>
      <w:r>
        <w:rPr>
          <w:rFonts w:hint="eastAsia" w:ascii="仿宋" w:hAnsi="仿宋" w:eastAsia="仿宋"/>
          <w:color w:val="auto"/>
          <w:sz w:val="32"/>
          <w:szCs w:val="32"/>
        </w:rPr>
        <w:t>债务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余额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171014</w:t>
      </w:r>
      <w:r>
        <w:rPr>
          <w:rFonts w:hint="eastAsia" w:ascii="仿宋" w:hAnsi="仿宋" w:eastAsia="仿宋"/>
          <w:color w:val="auto"/>
          <w:sz w:val="32"/>
          <w:szCs w:val="32"/>
        </w:rPr>
        <w:t>元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，加上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2022年当年新增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专项债券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72600万元，减去当年还本支出12091万元，2022年末专项债务余额为231523元。我市</w:t>
      </w:r>
      <w:r>
        <w:rPr>
          <w:rFonts w:hint="eastAsia" w:ascii="仿宋" w:hAnsi="仿宋" w:eastAsia="仿宋"/>
          <w:color w:val="auto"/>
          <w:sz w:val="32"/>
          <w:szCs w:val="32"/>
        </w:rPr>
        <w:t>地方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政府专项</w:t>
      </w:r>
      <w:r>
        <w:rPr>
          <w:rFonts w:hint="eastAsia" w:ascii="仿宋" w:hAnsi="仿宋" w:eastAsia="仿宋"/>
          <w:color w:val="auto"/>
          <w:sz w:val="32"/>
          <w:szCs w:val="32"/>
        </w:rPr>
        <w:t>债务规模严格控制在规定限额之内。</w:t>
      </w:r>
    </w:p>
    <w:p w14:paraId="18BBE085">
      <w:pPr>
        <w:pStyle w:val="2"/>
        <w:rPr>
          <w:rFonts w:hint="eastAsia" w:ascii="仿宋" w:hAnsi="仿宋" w:eastAsia="仿宋"/>
          <w:color w:val="auto"/>
          <w:sz w:val="32"/>
          <w:szCs w:val="32"/>
          <w:highlight w:val="yellow"/>
        </w:rPr>
      </w:pPr>
    </w:p>
    <w:p w14:paraId="2F404DAD">
      <w:pPr>
        <w:pStyle w:val="2"/>
        <w:rPr>
          <w:rFonts w:hint="eastAsia" w:ascii="仿宋" w:hAnsi="仿宋" w:eastAsia="仿宋"/>
          <w:color w:val="auto"/>
          <w:sz w:val="32"/>
          <w:szCs w:val="32"/>
        </w:rPr>
      </w:pPr>
    </w:p>
    <w:p w14:paraId="7C4B972E">
      <w:pPr>
        <w:pStyle w:val="2"/>
        <w:rPr>
          <w:rFonts w:hint="eastAsia" w:ascii="仿宋" w:hAnsi="仿宋" w:eastAsia="仿宋"/>
          <w:color w:val="auto"/>
          <w:sz w:val="32"/>
          <w:szCs w:val="32"/>
        </w:rPr>
      </w:pPr>
    </w:p>
    <w:p w14:paraId="0481528B">
      <w:pPr>
        <w:pStyle w:val="2"/>
        <w:rPr>
          <w:rFonts w:hint="eastAsia" w:ascii="仿宋" w:hAnsi="仿宋" w:eastAsia="仿宋"/>
          <w:color w:val="auto"/>
          <w:sz w:val="32"/>
          <w:szCs w:val="32"/>
        </w:rPr>
      </w:pPr>
    </w:p>
    <w:p w14:paraId="23440AE0">
      <w:pPr>
        <w:pStyle w:val="2"/>
        <w:rPr>
          <w:rFonts w:hint="eastAsia" w:ascii="仿宋" w:hAnsi="仿宋" w:eastAsia="仿宋"/>
          <w:color w:val="auto"/>
          <w:sz w:val="32"/>
          <w:szCs w:val="32"/>
        </w:rPr>
      </w:pPr>
    </w:p>
    <w:p w14:paraId="08FB5F08">
      <w:pPr>
        <w:kinsoku w:val="0"/>
        <w:overflowPunct w:val="0"/>
        <w:adjustRightInd w:val="0"/>
        <w:snapToGrid w:val="0"/>
        <w:spacing w:line="360" w:lineRule="auto"/>
        <w:ind w:right="521"/>
        <w:jc w:val="center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第七章    孟州市市本级政府预算公开附表</w:t>
      </w:r>
    </w:p>
    <w:p w14:paraId="382297DA">
      <w:pPr>
        <w:keepNext w:val="0"/>
        <w:keepLines w:val="0"/>
        <w:pageBreakBefore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eastAsia="zh-CN"/>
        </w:rPr>
        <w:t>表一：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2023年市本级一般公共预算收支预算执行情况总表</w:t>
      </w:r>
    </w:p>
    <w:p w14:paraId="6972F20A">
      <w:pPr>
        <w:keepNext w:val="0"/>
        <w:keepLines w:val="0"/>
        <w:pageBreakBefore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表二：2023年市本级一般公共预算本级收入预算表</w:t>
      </w:r>
    </w:p>
    <w:p w14:paraId="0BC8C446">
      <w:pPr>
        <w:keepNext w:val="0"/>
        <w:keepLines w:val="0"/>
        <w:pageBreakBefore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表三：2023年市本级一般公共预算支出情况表</w:t>
      </w:r>
    </w:p>
    <w:p w14:paraId="4663C4AF">
      <w:pPr>
        <w:keepNext w:val="0"/>
        <w:keepLines w:val="0"/>
        <w:pageBreakBefore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表四：2023年市本级一般公共预算支出明细表</w:t>
      </w:r>
    </w:p>
    <w:p w14:paraId="4353B8D1">
      <w:pPr>
        <w:keepNext w:val="0"/>
        <w:keepLines w:val="0"/>
        <w:pageBreakBefore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sz w:val="30"/>
          <w:szCs w:val="30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表五：</w:t>
      </w:r>
      <w:r>
        <w:rPr>
          <w:rFonts w:hint="eastAsia" w:ascii="仿宋" w:hAnsi="仿宋" w:eastAsia="仿宋" w:cs="宋体"/>
          <w:sz w:val="30"/>
          <w:szCs w:val="30"/>
          <w:lang w:val="en-US" w:eastAsia="zh-CN"/>
        </w:rPr>
        <w:t>2023年市本级一般公共预算基本支出经济分类情况表</w:t>
      </w:r>
    </w:p>
    <w:p w14:paraId="219B378F">
      <w:pPr>
        <w:keepNext w:val="0"/>
        <w:keepLines w:val="0"/>
        <w:pageBreakBefore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表六：2023年市本级一般公共预算税收返还和转移支付表</w:t>
      </w:r>
    </w:p>
    <w:p w14:paraId="517EED23">
      <w:pPr>
        <w:keepNext w:val="0"/>
        <w:keepLines w:val="0"/>
        <w:pageBreakBefore w:val="0"/>
        <w:widowControl/>
        <w:wordWrap/>
        <w:topLinePunct w:val="0"/>
        <w:autoSpaceDE/>
        <w:autoSpaceDN w:val="0"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表七: 2023年市本级政府性基金收支总表</w:t>
      </w:r>
    </w:p>
    <w:p w14:paraId="453AFA75">
      <w:pPr>
        <w:keepNext w:val="0"/>
        <w:keepLines w:val="0"/>
        <w:pageBreakBefore w:val="0"/>
        <w:widowControl/>
        <w:wordWrap/>
        <w:topLinePunct w:val="0"/>
        <w:autoSpaceDE/>
        <w:autoSpaceDN w:val="0"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表八：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2023年市本级政府性基金预算收入预算表</w:t>
      </w:r>
    </w:p>
    <w:p w14:paraId="6845CBA4">
      <w:pPr>
        <w:keepNext w:val="0"/>
        <w:keepLines w:val="0"/>
        <w:pageBreakBefore w:val="0"/>
        <w:widowControl/>
        <w:wordWrap/>
        <w:topLinePunct w:val="0"/>
        <w:autoSpaceDE/>
        <w:autoSpaceDN w:val="0"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表九: 2023年市本级政府性基金预算支出明细表</w:t>
      </w:r>
    </w:p>
    <w:p w14:paraId="09A6FE40">
      <w:pPr>
        <w:keepNext w:val="0"/>
        <w:keepLines w:val="0"/>
        <w:pageBreakBefore w:val="0"/>
        <w:widowControl/>
        <w:wordWrap/>
        <w:topLinePunct w:val="0"/>
        <w:autoSpaceDE/>
        <w:autoSpaceDN w:val="0"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表十：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2023年市本级政府性基金转移支付预算表</w:t>
      </w:r>
    </w:p>
    <w:p w14:paraId="64CFFA7B">
      <w:pPr>
        <w:keepNext w:val="0"/>
        <w:keepLines w:val="0"/>
        <w:pageBreakBefore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theme="minorBidi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theme="minorBidi"/>
          <w:color w:val="000000"/>
          <w:kern w:val="0"/>
          <w:sz w:val="32"/>
          <w:szCs w:val="32"/>
          <w:lang w:val="en-US" w:eastAsia="zh-CN" w:bidi="ar-SA"/>
        </w:rPr>
        <w:t>表十一：2023年市本级社会保险基金预算收入表</w:t>
      </w:r>
    </w:p>
    <w:p w14:paraId="3433FA2B">
      <w:pPr>
        <w:keepNext w:val="0"/>
        <w:keepLines w:val="0"/>
        <w:pageBreakBefore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theme="minorBidi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theme="minorBidi"/>
          <w:color w:val="000000"/>
          <w:kern w:val="0"/>
          <w:sz w:val="32"/>
          <w:szCs w:val="32"/>
          <w:lang w:val="en-US" w:eastAsia="zh-CN" w:bidi="ar-SA"/>
        </w:rPr>
        <w:t>表十二：2023年市本级社会保险基金预算支出表</w:t>
      </w:r>
    </w:p>
    <w:p w14:paraId="4C6831E6">
      <w:pPr>
        <w:keepNext w:val="0"/>
        <w:keepLines w:val="0"/>
        <w:pageBreakBefore w:val="0"/>
        <w:widowControl/>
        <w:wordWrap/>
        <w:topLinePunct w:val="0"/>
        <w:autoSpaceDE/>
        <w:autoSpaceDN w:val="0"/>
        <w:bidi w:val="0"/>
        <w:spacing w:line="600" w:lineRule="exact"/>
        <w:ind w:left="1"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表十三：2023年市本级国有资本经营预算收入表</w:t>
      </w:r>
    </w:p>
    <w:p w14:paraId="11358777">
      <w:pPr>
        <w:keepNext w:val="0"/>
        <w:keepLines w:val="0"/>
        <w:pageBreakBefore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表十四：2023年市本级国有资本经营预算支出表</w:t>
      </w:r>
    </w:p>
    <w:p w14:paraId="6F935C86">
      <w:pPr>
        <w:pStyle w:val="2"/>
        <w:keepNext w:val="0"/>
        <w:keepLines w:val="0"/>
        <w:pageBreakBefore w:val="0"/>
        <w:wordWrap/>
        <w:topLinePunct w:val="0"/>
        <w:autoSpaceDE/>
        <w:bidi w:val="0"/>
        <w:spacing w:before="0" w:after="0"/>
        <w:ind w:firstLine="640" w:firstLineChars="200"/>
        <w:jc w:val="both"/>
        <w:textAlignment w:val="auto"/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表十五：2023年市本级国有资本经营预算转移支付表</w:t>
      </w:r>
    </w:p>
    <w:p w14:paraId="2A8C3B2A">
      <w:pPr>
        <w:keepNext w:val="0"/>
        <w:keepLines w:val="0"/>
        <w:pageBreakBefore w:val="0"/>
        <w:widowControl/>
        <w:wordWrap/>
        <w:topLinePunct w:val="0"/>
        <w:autoSpaceDE/>
        <w:autoSpaceDN w:val="0"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000000"/>
          <w:kern w:val="0"/>
          <w:sz w:val="32"/>
          <w:szCs w:val="32"/>
          <w:lang w:val="en-US" w:eastAsia="zh-CN"/>
        </w:rPr>
        <w:t>表十六：2023年市本级一般公共预算“三公”经费预算表</w:t>
      </w:r>
    </w:p>
    <w:p w14:paraId="46BF344A">
      <w:pPr>
        <w:keepNext w:val="0"/>
        <w:keepLines w:val="0"/>
        <w:pageBreakBefore w:val="0"/>
        <w:shd w:val="clear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表十七：2023年孟州市市本级一般债务限额余额情况表</w:t>
      </w:r>
    </w:p>
    <w:p w14:paraId="3D231352">
      <w:pPr>
        <w:keepNext w:val="0"/>
        <w:keepLines w:val="0"/>
        <w:pageBreakBefore w:val="0"/>
        <w:shd w:val="clear"/>
        <w:kinsoku w:val="0"/>
        <w:wordWrap/>
        <w:overflowPunct w:val="0"/>
        <w:topLinePunct w:val="0"/>
        <w:autoSpaceDE/>
        <w:bidi w:val="0"/>
        <w:adjustRightInd w:val="0"/>
        <w:snapToGrid w:val="0"/>
        <w:spacing w:line="600" w:lineRule="exact"/>
        <w:ind w:right="46" w:rightChars="0"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highlight w:val="none"/>
          <w:lang w:val="en-US" w:eastAsia="zh-CN"/>
        </w:rPr>
        <w:t>表十八: 2023年孟州市市本级专项债务限额余额情况表</w:t>
      </w:r>
    </w:p>
    <w:sectPr>
      <w:pgSz w:w="11906" w:h="16838"/>
      <w:pgMar w:top="1440" w:right="144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CF1AA8"/>
    <w:multiLevelType w:val="singleLevel"/>
    <w:tmpl w:val="5ECF1AA8"/>
    <w:lvl w:ilvl="0" w:tentative="0">
      <w:start w:val="1"/>
      <w:numFmt w:val="chineseCounting"/>
      <w:suff w:val="space"/>
      <w:lvlText w:val="第%1章"/>
      <w:lvlJc w:val="left"/>
    </w:lvl>
  </w:abstractNum>
  <w:abstractNum w:abstractNumId="1">
    <w:nsid w:val="5ED5A545"/>
    <w:multiLevelType w:val="singleLevel"/>
    <w:tmpl w:val="5ED5A545"/>
    <w:lvl w:ilvl="0" w:tentative="0">
      <w:start w:val="3"/>
      <w:numFmt w:val="decimal"/>
      <w:suff w:val="nothing"/>
      <w:lvlText w:val="%1、"/>
      <w:lvlJc w:val="left"/>
    </w:lvl>
  </w:abstractNum>
  <w:abstractNum w:abstractNumId="2">
    <w:nsid w:val="6061499D"/>
    <w:multiLevelType w:val="singleLevel"/>
    <w:tmpl w:val="6061499D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60615EB4"/>
    <w:multiLevelType w:val="singleLevel"/>
    <w:tmpl w:val="60615EB4"/>
    <w:lvl w:ilvl="0" w:tentative="0">
      <w:start w:val="5"/>
      <w:numFmt w:val="chineseCounting"/>
      <w:suff w:val="space"/>
      <w:lvlText w:val="第%1章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yNzAxNDgxM2QxNjE3OTY3YTkxMTY3ZjAzMDFjZGQifQ=="/>
  </w:docVars>
  <w:rsids>
    <w:rsidRoot w:val="36C43173"/>
    <w:rsid w:val="03245CC9"/>
    <w:rsid w:val="099A47BF"/>
    <w:rsid w:val="09DE0604"/>
    <w:rsid w:val="0A2A16A3"/>
    <w:rsid w:val="0AF40469"/>
    <w:rsid w:val="0DCF7188"/>
    <w:rsid w:val="0E206200"/>
    <w:rsid w:val="0F622D2A"/>
    <w:rsid w:val="0F9336A6"/>
    <w:rsid w:val="124F7DA7"/>
    <w:rsid w:val="14D4448D"/>
    <w:rsid w:val="14F405E4"/>
    <w:rsid w:val="1620152F"/>
    <w:rsid w:val="17710B05"/>
    <w:rsid w:val="18E53215"/>
    <w:rsid w:val="1994653A"/>
    <w:rsid w:val="1A3A5F3C"/>
    <w:rsid w:val="1A3D74C1"/>
    <w:rsid w:val="1A954EA6"/>
    <w:rsid w:val="1BF7377F"/>
    <w:rsid w:val="1CA93B54"/>
    <w:rsid w:val="1D19328F"/>
    <w:rsid w:val="1EA3393E"/>
    <w:rsid w:val="1EAE7A62"/>
    <w:rsid w:val="1EDD385F"/>
    <w:rsid w:val="1FDD7CEF"/>
    <w:rsid w:val="20256A90"/>
    <w:rsid w:val="20C34870"/>
    <w:rsid w:val="215E4AE2"/>
    <w:rsid w:val="216C778F"/>
    <w:rsid w:val="24A3273B"/>
    <w:rsid w:val="24A678B8"/>
    <w:rsid w:val="25764191"/>
    <w:rsid w:val="2726581F"/>
    <w:rsid w:val="27D20C09"/>
    <w:rsid w:val="27FA12DE"/>
    <w:rsid w:val="28AD70E4"/>
    <w:rsid w:val="294803FE"/>
    <w:rsid w:val="2AE92A88"/>
    <w:rsid w:val="2B8539BD"/>
    <w:rsid w:val="2B907346"/>
    <w:rsid w:val="2C4331E6"/>
    <w:rsid w:val="2D26469B"/>
    <w:rsid w:val="2DC57BC6"/>
    <w:rsid w:val="2EFA2DE8"/>
    <w:rsid w:val="30B21CEC"/>
    <w:rsid w:val="31DE5565"/>
    <w:rsid w:val="334D4569"/>
    <w:rsid w:val="33555904"/>
    <w:rsid w:val="356A1D04"/>
    <w:rsid w:val="35733E82"/>
    <w:rsid w:val="36C43173"/>
    <w:rsid w:val="37A852B1"/>
    <w:rsid w:val="39B14056"/>
    <w:rsid w:val="3A032C4B"/>
    <w:rsid w:val="3BAB6A3B"/>
    <w:rsid w:val="3CEA0150"/>
    <w:rsid w:val="3E5B4BF4"/>
    <w:rsid w:val="3EBB6A19"/>
    <w:rsid w:val="3FCA758E"/>
    <w:rsid w:val="41104366"/>
    <w:rsid w:val="416E75DC"/>
    <w:rsid w:val="41AC1C80"/>
    <w:rsid w:val="428F349B"/>
    <w:rsid w:val="45D74DFD"/>
    <w:rsid w:val="46FD78E0"/>
    <w:rsid w:val="47C2595A"/>
    <w:rsid w:val="48A25503"/>
    <w:rsid w:val="4C0B2484"/>
    <w:rsid w:val="4E0648D2"/>
    <w:rsid w:val="4E8F495B"/>
    <w:rsid w:val="4EDC1E3B"/>
    <w:rsid w:val="501739F6"/>
    <w:rsid w:val="50920854"/>
    <w:rsid w:val="50F90C6F"/>
    <w:rsid w:val="51404248"/>
    <w:rsid w:val="5362780A"/>
    <w:rsid w:val="53B17AD8"/>
    <w:rsid w:val="54D26144"/>
    <w:rsid w:val="58E660B7"/>
    <w:rsid w:val="59293748"/>
    <w:rsid w:val="5AD335D2"/>
    <w:rsid w:val="5BEB7851"/>
    <w:rsid w:val="5BED235E"/>
    <w:rsid w:val="5C8239C9"/>
    <w:rsid w:val="5E2C5EEC"/>
    <w:rsid w:val="5F2A5DFA"/>
    <w:rsid w:val="60C372F5"/>
    <w:rsid w:val="61431229"/>
    <w:rsid w:val="61D63DD9"/>
    <w:rsid w:val="641E0553"/>
    <w:rsid w:val="653A6C3E"/>
    <w:rsid w:val="65CF63A9"/>
    <w:rsid w:val="664F504A"/>
    <w:rsid w:val="670A4189"/>
    <w:rsid w:val="67D0487F"/>
    <w:rsid w:val="684D6B79"/>
    <w:rsid w:val="69C43A35"/>
    <w:rsid w:val="6B2E6E5E"/>
    <w:rsid w:val="6DA63B47"/>
    <w:rsid w:val="6DCA6C71"/>
    <w:rsid w:val="6FD92D60"/>
    <w:rsid w:val="71C202F6"/>
    <w:rsid w:val="728745C7"/>
    <w:rsid w:val="74172F92"/>
    <w:rsid w:val="744352BB"/>
    <w:rsid w:val="75723D10"/>
    <w:rsid w:val="771B1325"/>
    <w:rsid w:val="772824F9"/>
    <w:rsid w:val="775951B3"/>
    <w:rsid w:val="7A0623A8"/>
    <w:rsid w:val="7C066472"/>
    <w:rsid w:val="7C5C2B99"/>
    <w:rsid w:val="7D8D113E"/>
    <w:rsid w:val="7F3752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default" w:ascii="Times New Roman" w:hAnsi="Times New Roman" w:eastAsia="仿宋_GB2312" w:cs="Times New Roman"/>
      <w:kern w:val="2"/>
      <w:sz w:val="32"/>
      <w:szCs w:val="32"/>
      <w:lang w:val="en-US" w:eastAsia="zh-CN" w:bidi="ar"/>
    </w:rPr>
  </w:style>
  <w:style w:type="paragraph" w:styleId="3">
    <w:name w:val="Normal (Web)"/>
    <w:basedOn w:val="1"/>
    <w:qFormat/>
    <w:uiPriority w:val="0"/>
    <w:pPr>
      <w:spacing w:before="100" w:beforeLines="0" w:beforeAutospacing="1" w:after="100" w:afterLines="0" w:afterAutospacing="1"/>
      <w:ind w:left="0" w:right="0"/>
      <w:jc w:val="left"/>
    </w:pPr>
    <w:rPr>
      <w:kern w:val="0"/>
      <w:sz w:val="24"/>
      <w:lang w:val="en-US" w:eastAsia="zh-CN" w:bidi="ar-SA"/>
    </w:rPr>
  </w:style>
  <w:style w:type="paragraph" w:customStyle="1" w:styleId="6">
    <w:name w:val="1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11</Pages>
  <Words>3915</Words>
  <Characters>4714</Characters>
  <Lines>0</Lines>
  <Paragraphs>0</Paragraphs>
  <TotalTime>5</TotalTime>
  <ScaleCrop>false</ScaleCrop>
  <LinksUpToDate>false</LinksUpToDate>
  <CharactersWithSpaces>4814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2018-10-14T13:02:00Z</dcterms:created>
  <dc:creator>User</dc:creator>
  <cp:lastModifiedBy>初见</cp:lastModifiedBy>
  <cp:lastPrinted>2020-06-01T07:11:00Z</cp:lastPrinted>
  <dcterms:modified xsi:type="dcterms:W3CDTF">2024-10-24T01:35:27Z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FC6AB6C2E79B40D7BCAC86EF6AAC2680_12</vt:lpwstr>
  </property>
</Properties>
</file>